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jc w:val="center"/>
        <w:rPr>
          <w:color w:val="003366"/>
          <w:sz w:val="32"/>
          <w:szCs w:val="32"/>
        </w:rPr>
        <w:outlineLvl w:val="0"/>
      </w:pPr>
      <w:r>
        <w:rPr>
          <w:color w:val="003366"/>
          <w:sz w:val="32"/>
          <w:szCs w:val="32"/>
        </w:rPr>
        <w:t xml:space="preserve">ПРЕДОСТАВЛЕНИЕ СОЦИАЛЬНОГО ОБСЛУЖИВАНИЯ</w:t>
      </w:r>
      <w:r/>
    </w:p>
    <w:p>
      <w:pPr>
        <w:pStyle w:val="819"/>
        <w:jc w:val="center"/>
        <w:rPr>
          <w:color w:val="000080"/>
          <w:sz w:val="32"/>
          <w:szCs w:val="32"/>
        </w:rPr>
        <w:outlineLvl w:val="0"/>
      </w:pPr>
      <w:r>
        <w:rPr>
          <w:color w:val="000080"/>
          <w:sz w:val="32"/>
          <w:szCs w:val="32"/>
        </w:rPr>
      </w:r>
      <w:r/>
    </w:p>
    <w:tbl>
      <w:tblPr>
        <w:tblW w:w="10080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080"/>
      </w:tblGrid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Правовое регулирование социального обслуживания граждан:</w:t>
            </w:r>
            <w:r/>
          </w:p>
          <w:p>
            <w:pPr>
              <w:pStyle w:val="818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jc w:val="both"/>
              <w:rPr>
                <w:b w:val="0"/>
                <w:color w:val="000080"/>
              </w:rPr>
              <w:outlineLvl w:val="1"/>
            </w:pPr>
            <w:r>
              <w:rPr>
                <w:b w:val="0"/>
                <w:color w:val="000080"/>
              </w:rPr>
              <w:t xml:space="preserve">Федеральный закон от 28.12.2013 № 442-ФЗ «Об основах социального обслуживания граждан в Российской Федерации», другие федеральные законы и иные нормативные правовые акты Российской Федерации;</w:t>
            </w:r>
            <w:r/>
          </w:p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Закон Иркутской области от 01.12.2014 № 144-ОЗ "Об отдельных вопросах социального обслуживания граждан в Иркутской области", </w:t>
            </w:r>
            <w:r>
              <w:rPr>
                <w:color w:val="000080"/>
              </w:rPr>
              <w:t xml:space="preserve">нормативные правовые акты, </w:t>
            </w:r>
            <w:r>
              <w:rPr>
                <w:color w:val="000080"/>
              </w:rPr>
              <w:t xml:space="preserve">принятые </w:t>
            </w:r>
            <w:r>
              <w:rPr>
                <w:color w:val="000080"/>
              </w:rPr>
              <w:t xml:space="preserve">во исполнение указанного закона</w:t>
            </w:r>
            <w:r>
              <w:rPr>
                <w:color w:val="000080"/>
              </w:rPr>
              <w:t xml:space="preserve">.</w:t>
            </w:r>
            <w:r/>
          </w:p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Обращение о предоставлении социального обслуживания:</w:t>
            </w:r>
            <w:r/>
          </w:p>
          <w:p>
            <w:pPr>
              <w:pStyle w:val="818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</w:t>
            </w:r>
            <w:r>
              <w:rPr>
                <w:b/>
                <w:color w:val="000080"/>
              </w:rPr>
              <w:t xml:space="preserve">заявление гражданина</w:t>
            </w:r>
            <w:r>
              <w:rPr>
                <w:color w:val="000080"/>
              </w:rPr>
              <w:t xml:space="preserve"> или его </w:t>
            </w:r>
            <w:r>
              <w:rPr>
                <w:color w:val="000080"/>
              </w:rPr>
              <w:fldChar w:fldCharType="begin"/>
            </w:r>
            <w:r>
              <w:rPr>
                <w:color w:val="000080"/>
              </w:rPr>
              <w:instrText xml:space="preserve">HYPERLINK "consultantplus://offline/ref=38A9DFE9C1D652077651F234EF38C1FB916576E7C2EB8830407BC4AE8585BE463C95EB51F51EAFDEaCD"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 xml:space="preserve">законного представителя</w:t>
            </w:r>
            <w:r>
              <w:rPr>
                <w:color w:val="000080"/>
              </w:rPr>
              <w:fldChar w:fldCharType="end"/>
            </w:r>
            <w:r>
              <w:rPr>
                <w:color w:val="000080"/>
              </w:rPr>
              <w:t xml:space="preserve"> о предо</w:t>
            </w:r>
            <w:r>
              <w:rPr>
                <w:color w:val="000080"/>
              </w:rPr>
              <w:t xml:space="preserve">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объединений, либо переданные заявление или обращение в рамках межведомственного взаимодействия.</w:t>
            </w:r>
            <w:r/>
          </w:p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8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Куда необходимо обратиться:</w:t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Областное государственное бюджетное учреждение «Управление социальной защиты и социального обслуживания населения по Чунскому муниципальному округу», отделение социального обслуживания населения управления по месту жительства</w:t>
            </w:r>
            <w:r/>
          </w:p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jc w:val="center"/>
              <w:rPr>
                <w:bCs/>
                <w:color w:val="000080"/>
                <w:sz w:val="28"/>
                <w:szCs w:val="28"/>
              </w:rPr>
              <w:outlineLvl w:val="1"/>
            </w:pPr>
            <w:r>
              <w:rPr>
                <w:bCs/>
                <w:color w:val="000080"/>
                <w:sz w:val="28"/>
                <w:szCs w:val="28"/>
              </w:rPr>
              <w:t xml:space="preserve">Признание гражданина нуждающимся в социальном обслуживании, составление индивидуальной программы предоставления социальных услуг:</w:t>
            </w:r>
            <w:r/>
          </w:p>
          <w:p>
            <w:pPr>
              <w:pStyle w:val="818"/>
              <w:jc w:val="both"/>
              <w:rPr>
                <w:color w:val="000080"/>
              </w:rPr>
            </w:pPr>
            <w:r>
              <w:rPr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jc w:val="both"/>
              <w:rPr>
                <w:bCs/>
                <w:color w:val="000080"/>
              </w:rPr>
              <w:outlineLvl w:val="1"/>
            </w:pPr>
            <w:r>
              <w:rPr>
                <w:b w:val="0"/>
                <w:color w:val="000080"/>
              </w:rPr>
              <w:t xml:space="preserve">     Гражданин признается нуждающимся в социальном обслуживании в случае, если существуют следующие </w:t>
            </w:r>
            <w:r>
              <w:rPr>
                <w:bCs/>
                <w:color w:val="000080"/>
              </w:rPr>
              <w:t xml:space="preserve">обстоятельства, которые ухудшают или могут ухудшить условия его жизнедеятельности: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в семье инвалида или инвалидов, в том числе ребенка-инвалида или детей-инвалидов, нуждающихся в постоянном постороннем уходе;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ребенка или детей (в том числе находящихся под опекой, попечительством), испытывающих трудности в социальной адаптации;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 - отсутствие возможности обеспечения ухода (в том числе временного) за инвалидом, ребенком, детьми, а также отсутствие попечения над ними;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отсутствие работы и средств к существованию;</w:t>
            </w:r>
            <w:r/>
          </w:p>
          <w:p>
            <w:pPr>
              <w:pStyle w:val="814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 - чрезвычайная ситуация;</w:t>
            </w:r>
            <w:r/>
          </w:p>
          <w:p>
            <w:pPr>
              <w:pStyle w:val="814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вооруженный, межнациональный (межэтнический) конфликт;</w:t>
            </w:r>
            <w:r/>
          </w:p>
          <w:p>
            <w:pPr>
              <w:pStyle w:val="814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- наличие трудностей в социальной адаптации у граждан старше 18 лет в связи с заболеванием, инвалидностью, возрастом.</w:t>
            </w:r>
            <w:r/>
          </w:p>
          <w:p>
            <w:pPr>
              <w:pStyle w:val="818"/>
              <w:ind w:firstLine="539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В случае признания гражданина нуждающимся в предоставлении социальных услуг составляется </w:t>
            </w:r>
            <w:r>
              <w:rPr>
                <w:b/>
                <w:bCs/>
                <w:color w:val="000080"/>
              </w:rPr>
              <w:t xml:space="preserve">индивидуальная программа предоставления социальных услуг</w:t>
            </w:r>
            <w:r>
              <w:rPr>
                <w:color w:val="000080"/>
              </w:rPr>
              <w:t xml:space="preserve">, в которой указывается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услуг.</w:t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  <w:t xml:space="preserve">Предоставление социальных услуг:</w:t>
            </w:r>
            <w:r/>
          </w:p>
          <w:p>
            <w:pPr>
              <w:pStyle w:val="819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ind w:firstLine="432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  <w:t xml:space="preserve">Социальные услуги предоставляются гражданину на основании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"consultantplus://offline/ref=38A9DFE9C1D</w:instrText>
            </w:r>
            <w:r>
              <w:rPr>
                <w:b w:val="0"/>
                <w:bCs/>
                <w:color w:val="000080"/>
              </w:rPr>
              <w:instrText xml:space="preserve">652077651F234EF38C1FB9A6576E7CAE9D53A4822C8AC828AE1513BDCE750F51EAFE9D0a3D"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договора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      </w:r>
            <w:r/>
          </w:p>
          <w:p>
            <w:pPr>
              <w:pStyle w:val="819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  <w:t xml:space="preserve">Формы социального обслуживания:</w:t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ind w:firstLine="432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  <w:t xml:space="preserve">Социальные услуги предоставляются их получателям в форме социального обслуживания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"consultantplus://offline/ref=F4DC99C63C322439EE8929B4982BFAC9097F746AE3AA298247DC06E6B1F58D026BF28330CEE03EDAc3a9D"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на дому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, или в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"consultantplus://offline/ref=F4DC99C63C322439EE8929B4982BFAC9097F7363E9AC298247DC06E6B1F58D026BF28330CEE03EDBc3a0D"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полустационарной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 форме, или в </w:t>
            </w:r>
            <w:r>
              <w:rPr>
                <w:b w:val="0"/>
                <w:bCs/>
                <w:color w:val="000080"/>
              </w:rPr>
              <w:fldChar w:fldCharType="begin"/>
            </w:r>
            <w:r>
              <w:rPr>
                <w:b w:val="0"/>
                <w:bCs/>
                <w:color w:val="000080"/>
              </w:rPr>
              <w:instrText xml:space="preserve">HYPERLINK "consultantplus://offline/ref=F4DC99C63C322439EE8929B4982BFAC9097F7263E8A9298247DC06E6B1F58D026BF28330CEE03EDAc3a9D"</w:instrText>
            </w:r>
            <w:r>
              <w:rPr>
                <w:b w:val="0"/>
                <w:bCs/>
                <w:color w:val="000080"/>
              </w:rPr>
              <w:fldChar w:fldCharType="separate"/>
            </w:r>
            <w:r>
              <w:rPr>
                <w:b w:val="0"/>
                <w:bCs/>
                <w:color w:val="000080"/>
              </w:rPr>
              <w:t xml:space="preserve">стационарной</w:t>
            </w:r>
            <w:r>
              <w:rPr>
                <w:b w:val="0"/>
                <w:bCs/>
                <w:color w:val="000080"/>
              </w:rPr>
              <w:fldChar w:fldCharType="end"/>
            </w:r>
            <w:r>
              <w:rPr>
                <w:b w:val="0"/>
                <w:bCs/>
                <w:color w:val="000080"/>
              </w:rPr>
              <w:t xml:space="preserve"> форме.</w:t>
            </w:r>
            <w:r/>
          </w:p>
          <w:p>
            <w:pPr>
              <w:pStyle w:val="819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9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  <w:t xml:space="preserve">Порядок организации работы по признанию граждан нуждающимися в социальном обслуживании, порядки предоставления социальных услуг поставщиками социальных услуг:</w:t>
            </w:r>
            <w:r/>
          </w:p>
          <w:p>
            <w:pPr>
              <w:pStyle w:val="819"/>
              <w:jc w:val="center"/>
              <w:rPr>
                <w:color w:val="000080"/>
                <w:sz w:val="28"/>
                <w:szCs w:val="28"/>
              </w:rPr>
              <w:outlineLvl w:val="1"/>
            </w:pPr>
            <w:r>
              <w:rPr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4"/>
              <w:ind w:firstLine="43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Порядок организации работы по признанию граждан нуждающимися в социальном обслуживании, утвержденный приказом министерства социального развития, опеки и попечительства Иркутской области от 30.12.2014   № 211-мпр;</w:t>
            </w:r>
            <w:r/>
          </w:p>
          <w:p>
            <w:pPr>
              <w:pStyle w:val="814"/>
              <w:ind w:firstLine="43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Порядок предоставления социальных услуг в стационарной форме социального обслуживания, утвержденный приказом министерства социального развития, опеки и попечительства Иркутской области от 11.12.2014 № 193-мпр;</w:t>
            </w:r>
            <w:r/>
          </w:p>
          <w:p>
            <w:pPr>
              <w:pStyle w:val="814"/>
              <w:ind w:firstLine="432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Порядок предоставления социальных услуг в полустационарной форме социального обслуживания, утвержденный приказом министерства социального развития, опеки и попечительства Иркутской области от 11.12.2014 № 196-мпр;</w:t>
            </w:r>
            <w:r/>
          </w:p>
          <w:p>
            <w:pPr>
              <w:pStyle w:val="819"/>
              <w:ind w:firstLine="432"/>
              <w:jc w:val="both"/>
              <w:rPr>
                <w:b w:val="0"/>
                <w:color w:val="000080"/>
              </w:rPr>
              <w:outlineLvl w:val="1"/>
            </w:pPr>
            <w:r>
              <w:rPr>
                <w:b w:val="0"/>
                <w:color w:val="000080"/>
              </w:rPr>
              <w:t xml:space="preserve">Порядок предоставления социальных услуг в форме социального обслуживания на дому, утвержденный приказом министерства социального развития, опеки и попечите</w:t>
            </w:r>
            <w:r>
              <w:rPr>
                <w:b w:val="0"/>
                <w:color w:val="000080"/>
              </w:rPr>
              <w:t xml:space="preserve">льства Иркутской области от 11.12.2014 № Порядком предоставления социальных услуг в форме социального обслуживания на дому, утвержденным приказом министерства социального развития, опеки и попечительства Иркутской области от 11 декабря 2014 года № 195-мпр.</w:t>
            </w:r>
            <w:r/>
          </w:p>
          <w:p>
            <w:pPr>
              <w:pStyle w:val="819"/>
              <w:ind w:firstLine="432"/>
              <w:jc w:val="both"/>
              <w:rPr>
                <w:b w:val="0"/>
                <w:bCs/>
                <w:color w:val="000080"/>
              </w:rPr>
              <w:outlineLvl w:val="1"/>
            </w:pPr>
            <w:r>
              <w:rPr>
                <w:b w:val="0"/>
                <w:bCs/>
                <w:color w:val="000080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4"/>
              <w:ind w:firstLine="43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Сеть государственных учреждений социального обслуживания Иркутской области (8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8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учреждений)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:</w:t>
            </w:r>
            <w:r>
              <w:rPr>
                <w:b/>
                <w:bCs/>
                <w:color w:val="000080"/>
                <w:sz w:val="28"/>
                <w:szCs w:val="28"/>
              </w:rPr>
            </w:r>
            <w:r/>
          </w:p>
          <w:p>
            <w:pPr>
              <w:pStyle w:val="814"/>
              <w:ind w:firstLine="432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bCs/>
                <w:color w:val="000080"/>
                <w:sz w:val="28"/>
                <w:szCs w:val="28"/>
              </w:rPr>
            </w:r>
            <w:r/>
          </w:p>
        </w:tc>
      </w:tr>
      <w:tr>
        <w:trPr/>
        <w:tc>
          <w:tcPr>
            <w:tcW w:w="10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Домов-интернатов для престарелых и инвалидов – 6     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Специальный дом-интернат для престарелых и инвалидов – 1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Геронтологический центр – 1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Реабилитационный центр - 2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Психоневрологических интернатов – 9 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Комплексные центры социального обслуживания – 32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Социально-реабилитационные центры для несовершеннолетних – 7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Реабилитационные центры для детей и подростков – 2 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Детские дома-интернаты для умственно отсталых детей – 4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Центр социальной помощи семье и детям – 6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Иркутский реабилитационный техникум – 1 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Учебно-методический центр – 1</w:t>
            </w:r>
            <w:r/>
          </w:p>
          <w:p>
            <w:pPr>
              <w:pStyle w:val="814"/>
              <w:jc w:val="both"/>
              <w:shd w:val="clear" w:color="auto" w:fill="ffffff"/>
              <w:rPr>
                <w:color w:val="000080"/>
              </w:rPr>
            </w:pPr>
            <w:r>
              <w:rPr>
                <w:color w:val="000080"/>
              </w:rPr>
              <w:t xml:space="preserve">Центры помощи детям, оставшимся без попечения родителей - 15</w:t>
            </w:r>
            <w:r/>
          </w:p>
          <w:p>
            <w:pPr>
              <w:pStyle w:val="814"/>
              <w:jc w:val="both"/>
              <w:rPr>
                <w:color w:val="000080"/>
              </w:rPr>
            </w:pPr>
            <w:r>
              <w:rPr>
                <w:color w:val="000080"/>
              </w:rPr>
              <w:t xml:space="preserve">Социально-оздоровительный центр - 1</w:t>
            </w:r>
            <w:r>
              <w:rPr>
                <w:color w:val="000080"/>
              </w:rPr>
            </w:r>
            <w:r/>
          </w:p>
        </w:tc>
      </w:tr>
    </w:tbl>
    <w:p>
      <w:pPr>
        <w:pStyle w:val="818"/>
        <w:ind w:firstLine="540"/>
        <w:jc w:val="both"/>
        <w:rPr>
          <w:color w:val="000080"/>
        </w:rPr>
      </w:pPr>
      <w:r>
        <w:rPr>
          <w:color w:val="000080"/>
        </w:rPr>
      </w:r>
      <w:r/>
    </w:p>
    <w:p>
      <w:pPr>
        <w:pStyle w:val="818"/>
        <w:ind w:firstLine="54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/>
    </w:p>
    <w:p>
      <w:pPr>
        <w:pStyle w:val="818"/>
        <w:ind w:firstLine="540"/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/>
    </w:p>
    <w:p>
      <w:pPr>
        <w:pStyle w:val="818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Batang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Batang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ko-KR" w:bidi="ar-SA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ConsPlusNormal"/>
    <w:next w:val="818"/>
    <w:link w:val="814"/>
    <w:pPr>
      <w:widowControl w:val="off"/>
    </w:pPr>
    <w:rPr>
      <w:sz w:val="24"/>
      <w:lang w:val="ru-RU" w:eastAsia="ko-KR" w:bidi="ar-SA"/>
    </w:rPr>
  </w:style>
  <w:style w:type="paragraph" w:styleId="819">
    <w:name w:val="ConsPlusTitle"/>
    <w:next w:val="819"/>
    <w:link w:val="814"/>
    <w:pPr>
      <w:widowControl w:val="off"/>
    </w:pPr>
    <w:rPr>
      <w:b/>
      <w:sz w:val="24"/>
      <w:lang w:val="ru-RU" w:eastAsia="ko-KR" w:bidi="ar-SA"/>
    </w:rPr>
  </w:style>
  <w:style w:type="table" w:styleId="820">
    <w:name w:val="Сетка таблицы"/>
    <w:basedOn w:val="816"/>
    <w:next w:val="820"/>
    <w:link w:val="814"/>
    <w:tblPr/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  <w:style w:type="table" w:styleId="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СОЦИАЛЬНОГО ОБСЛУЖИВАНИЯ</dc:title>
  <dc:creator>admin</dc:creator>
  <cp:revision>11</cp:revision>
  <dcterms:created xsi:type="dcterms:W3CDTF">2018-07-12T03:58:00Z</dcterms:created>
  <dcterms:modified xsi:type="dcterms:W3CDTF">2025-12-25T00:51:19Z</dcterms:modified>
  <cp:version>983040</cp:version>
</cp:coreProperties>
</file>