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03"/>
        <w:gridCol w:w="6637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814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47975" cy="213598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47975" cy="2135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4.2pt;height:168.2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63242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предоставлении денежной компенсации расходов, связанных с изготовлением и ремонтом зубных протезов (кроме расходов на оплату стои</w:t>
            </w:r>
            <w:r>
              <w:rPr>
                <w:sz w:val="26"/>
                <w:szCs w:val="26"/>
              </w:rPr>
              <w:t xml:space="preserve">мости драгоценных металлов и металлокерамики), инвалидам Великой Отечественной войны и инвалидам боевых действий, ветеранам Великой Отечественной войны, вдов погибших (умерших) инвалидов Великой Отечественной войны и участников Великой Отечественной войны"</w:t>
            </w:r>
            <w:r>
              <w:rPr>
                <w:b/>
                <w:color w:val="632423"/>
                <w:sz w:val="26"/>
                <w:szCs w:val="26"/>
              </w:rPr>
            </w:r>
            <w:r/>
          </w:p>
        </w:tc>
      </w:tr>
    </w:tbl>
    <w:p>
      <w:pPr>
        <w:pStyle w:val="814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Приказ Министерства социального развития, опеки и попечительства </w:t>
      </w:r>
      <w:r>
        <w:rPr>
          <w:rFonts w:ascii="Times New Roman CYR" w:hAnsi="Times New Roman CYR" w:cs="Times New Roman CYR"/>
          <w:b/>
          <w:bCs/>
          <w:color w:val="26282f"/>
        </w:rPr>
      </w:r>
      <w:r/>
    </w:p>
    <w:p>
      <w:pPr>
        <w:pStyle w:val="814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Иркутской области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 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от 20 октября 2014 г. N 169-МПР</w:t>
        <w:br w:type="textWrapping" w:clear="all"/>
        <w:t xml:space="preserve">"Об утверждении Положения о предоставлении денежной компенсации расходов, связанных с изготовлением и ремонтом зубных протезов (кроме расходов на оплату стои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мости драгоценных металлов и металлокерамики), инвалидам Великой Отечественной войны и инвалидам боевых действий, ветеранам Великой Отечественной войны, вдов погибших (умерших) инвалидов Великой Отечественной войны и участников Великой Отечественной войны"</w:t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) инвалиды Великой Отечественной войны;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Start w:id="0" w:name="sub_932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 инвалиды боевых действий;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Start w:id="1" w:name="sub_933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3) ветераны Великой Отечественной войны;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End w:id="1"/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Start w:id="2" w:name="sub_934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4) вдовы погибших (умерших) инвалидов Великой Отечественной войны и участников Великой Отечественной войны.</w:t>
            </w:r>
            <w:bookmarkEnd w:id="2"/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Денежная компенсация предоставляется заявителям, самостоятельно воспользовавшимися</w:t>
            </w:r>
            <w:hyperlink r:id="rId9" w:tooltip="https://internet.garant.ru/#/document/3100000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#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услугами по изготовлению и ремонту зубных протезов (кроме расходов на оплату стоимости драгоценных металлов и металлокерамики) в медицинских организациях государственной или муниципальной системы здравоохранения, имеющих лицензию на осуществление медицинс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кой деятельности, предусматривающей выполнение работ (услуг) по "стоматологии ортопедической".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Денежная компенсация предоставляется заявителям один раз в год при условии, что обращение за ней последовало не позднее двух месяцев с момента произведения оплаты услуг по изготовлению и ремонту зубных протезов.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Размер и условия предоставления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Денежная компенсация предоставляется в размере 50 процентов расходов заявителя по оплате услуг по изготовлению и ремонту зубных протезов (кроме расходов на оплату стоимости драгоценных металлов и металлокерамики), определенных на основании представляемого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 соответствии с </w:t>
            </w:r>
            <w:hyperlink r:id="rId10" w:tooltip="https://internet.garant.ru/#/document/34761143/entry/96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пунктом 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настоящего Положения документа, подтверждающего размер произведенных расходов, но не более 20 000 рублей.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ind w:right="34" w:firstLine="612"/>
              <w:jc w:val="both"/>
              <w:rPr>
                <w:rFonts w:ascii="Times New Roman" w:hAnsi="Times New Roman" w:cs="Times New Roman"/>
                <w:sz w:val="27"/>
                <w:szCs w:val="27"/>
              </w:rPr>
              <w:outlineLvl w:val="1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управление социальной защиты населения по мес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ту жительства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ind w:right="34" w:firstLine="612"/>
              <w:jc w:val="both"/>
              <w:rPr>
                <w:rFonts w:ascii="Times New Roman" w:hAnsi="Times New Roman" w:cs="Times New Roman"/>
                <w:sz w:val="27"/>
                <w:szCs w:val="27"/>
              </w:rPr>
              <w:outlineLvl w:val="1"/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</w:t>
            </w:r>
            <w:r>
              <w:rPr>
                <w:sz w:val="23"/>
                <w:szCs w:val="23"/>
              </w:rPr>
              <w:t xml:space="preserve">необходимые для предоставления компенсации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ind w:firstLine="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Start w:id="3" w:name="sub_961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1) паспорт или иной документ, удостоверяющий личность заявителя;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ind w:firstLine="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End w:id="3"/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Start w:id="4" w:name="sub_962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2) паспорт или иной документ, удостоверяющий личность представителя заявителя (в случае подачи заявления представителем заявителя);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ind w:firstLine="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End w:id="4"/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Start w:id="5" w:name="sub_963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3) документ, подтверждающий отнесение заявителя к категории граждан, указанной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fldChar w:fldCharType="begin"/>
            </w:r>
            <w:r>
              <w:rPr>
                <w:rFonts w:ascii="Times New Roman" w:hAnsi="Times New Roman" w:cs="Times New Roman"/>
                <w:sz w:val="27"/>
                <w:szCs w:val="27"/>
              </w:rPr>
              <w:instrText xml:space="preserve">HYPERLINK \l "sub_93"</w:instrText>
            </w:r>
            <w:r>
              <w:rPr>
                <w:rFonts w:ascii="Times New Roman" w:hAnsi="Times New Roman" w:cs="Times New Roman"/>
                <w:sz w:val="27"/>
                <w:szCs w:val="27"/>
              </w:rPr>
              <w:fldChar w:fldCharType="separate"/>
            </w:r>
            <w:r>
              <w:rPr>
                <w:rFonts w:ascii="Times New Roman" w:hAnsi="Times New Roman" w:cs="Times New Roman"/>
                <w:color w:val="106bbe"/>
                <w:sz w:val="27"/>
                <w:szCs w:val="27"/>
              </w:rPr>
              <w:t xml:space="preserve">пункте 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fldChar w:fldCharType="end"/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настоящего Положения;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End w:id="5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4) копия лицензии медицинской организации на осуще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4) документ, содержащий сведения о дате предоставления и регистрационном номере лицензии медицинской организации на осуществление медицинской деятельности, предусматривающей выполнение работ (услуг) по "стоматологии ортопедической;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5) документ, подтверждающий размер расходов заявителя по оплате услуг по изготовлению и ремонту зубных протезов (кроме расходов на оплату стоимости драгоценных металлов и металлокерамики) (квитанция об оплате, договор, наряд-заказ).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508"/>
        </w:trPr>
        <w:tc>
          <w:tcPr>
            <w:shd w:val="clear" w:color="ffffff" w:fill="fde9d9"/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предоставления компенсации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ffffff" w:fill="fde9d9"/>
            <w:tcW w:w="7229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денежной компенсации осуществляется в течение 60  календарных дней со дня принятия решения о предоставлении денежной  компенсации путем зачисления денежных средств на счет заявителя,  открытый в банке или иной кредитной организации по выбору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заявителя,  либо через организации федеральной почтовой связи.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sectPr>
      <w:footnotePr/>
      <w:endnotePr/>
      <w:type w:val="nextPage"/>
      <w:pgSz w:w="11906" w:h="16838" w:orient="portrait"/>
      <w:pgMar w:top="539" w:right="70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paragraph" w:styleId="815">
    <w:name w:val="Заголовок 1"/>
    <w:basedOn w:val="814"/>
    <w:next w:val="814"/>
    <w:link w:val="823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816">
    <w:name w:val="Основной шрифт абзаца, Знак Знак Знак Знак Знак Знак Знак Знак"/>
    <w:next w:val="816"/>
    <w:link w:val="820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table" w:styleId="819">
    <w:name w:val="Сетка таблицы"/>
    <w:basedOn w:val="817"/>
    <w:next w:val="819"/>
    <w:link w:val="814"/>
    <w:tblPr/>
  </w:style>
  <w:style w:type="paragraph" w:styleId="820">
    <w:name w:val=" Знак Знак Знак Знак Знак Знак"/>
    <w:basedOn w:val="814"/>
    <w:next w:val="820"/>
    <w:link w:val="816"/>
    <w:rPr>
      <w:rFonts w:ascii="Verdana" w:hAnsi="Verdana" w:cs="Verdana"/>
      <w:sz w:val="20"/>
      <w:szCs w:val="20"/>
      <w:lang w:val="en-US" w:eastAsia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character" w:styleId="822">
    <w:name w:val="Гиперссылка"/>
    <w:next w:val="822"/>
    <w:link w:val="814"/>
    <w:rPr>
      <w:color w:val="0000ff"/>
      <w:u w:val="single"/>
    </w:rPr>
  </w:style>
  <w:style w:type="character" w:styleId="823">
    <w:name w:val="Заголовок 1 Знак"/>
    <w:next w:val="823"/>
    <w:link w:val="81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824">
    <w:name w:val="Гипертекстовая ссылка"/>
    <w:next w:val="824"/>
    <w:link w:val="814"/>
    <w:uiPriority w:val="99"/>
    <w:rPr>
      <w:color w:val="106bbe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internet.garant.ru/#/document/3100000/entry/0" TargetMode="External"/><Relationship Id="rId10" Type="http://schemas.openxmlformats.org/officeDocument/2006/relationships/hyperlink" Target="https://internet.garant.ru/#/document/34761143/entry/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27</cp:revision>
  <dcterms:created xsi:type="dcterms:W3CDTF">2014-12-23T09:45:00Z</dcterms:created>
  <dcterms:modified xsi:type="dcterms:W3CDTF">2025-11-24T06:45:51Z</dcterms:modified>
  <cp:version>983040</cp:version>
</cp:coreProperties>
</file>