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5" w:leftFromText="180" w:topFromText="0" w:rightFromText="180" w:bottomFromText="0"/>
        <w:tblW w:w="103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14"/>
        <w:gridCol w:w="6254"/>
      </w:tblGrid>
      <w:tr>
        <w:trPr>
          <w:trHeight w:val="3022"/>
        </w:trPr>
        <w:tc>
          <w:tcPr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W w:w="4114" w:type="dxa"/>
            <w:vAlign w:val="top"/>
            <w:textDirection w:val="lrTb"/>
            <w:noWrap w:val="false"/>
          </w:tcPr>
          <w:p>
            <w:pPr>
              <w:pStyle w:val="814"/>
              <w:framePr w:hSpace="180" w:wrap="around" w:vAnchor="page" w:hAnchor="margin" w:y="465"/>
            </w:pPr>
            <w:r/>
            <w:r/>
          </w:p>
          <w:p>
            <w:pPr>
              <w:pStyle w:val="814"/>
              <w:framePr w:hSpace="180" w:wrap="around" w:vAnchor="page" w:hAnchor="margin" w:y="465"/>
            </w:pPr>
            <w:r>
              <w:fldChar w:fldCharType="begin"/>
            </w:r>
            <w:r>
              <w:instrText xml:space="preserve"> SHAPE  \* MERGEFORMAT </w:instrText>
            </w:r>
            <w:r>
              <w:fldChar w:fldCharType="separate"/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20290" cy="1741170"/>
                      <wp:effectExtent l="0" t="0" r="0" b="0"/>
                      <wp:docPr id="1" name="_x0000_s104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20290" cy="174117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6633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2.7pt;height:137.1pt;mso-wrap-distance-left:0.0pt;mso-wrap-distance-top:0.0pt;mso-wrap-distance-right:0.0pt;mso-wrap-distance-bottom:0.0pt;" strokecolor="#663300" strokeweight="6.00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fldChar w:fldCharType="end"/>
            </w:r>
            <w:r/>
          </w:p>
        </w:tc>
        <w:tc>
          <w:tcPr>
            <w:tcBorders>
              <w:left w:val="single" w:color="993366" w:sz="4" w:space="0"/>
            </w:tcBorders>
            <w:tcW w:w="6254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80"/>
                <w:sz w:val="22"/>
                <w:szCs w:val="22"/>
              </w:rPr>
              <w:framePr w:hSpace="180" w:wrap="around" w:vAnchor="page" w:hAnchor="margin" w:y="465"/>
            </w:pPr>
            <w:r>
              <w:rPr>
                <w:b/>
                <w:color w:val="800080"/>
                <w:sz w:val="22"/>
                <w:szCs w:val="22"/>
              </w:rPr>
            </w:r>
            <w:r/>
          </w:p>
          <w:p>
            <w:pPr>
              <w:pStyle w:val="814"/>
              <w:jc w:val="center"/>
              <w:rPr>
                <w:b/>
                <w:color w:val="800000"/>
                <w:sz w:val="32"/>
                <w:szCs w:val="32"/>
              </w:rPr>
              <w:framePr w:hSpace="180" w:wrap="around" w:vAnchor="page" w:hAnchor="margin" w:y="465"/>
            </w:pPr>
            <w:r>
              <w:rPr>
                <w:b/>
                <w:color w:val="800000"/>
                <w:sz w:val="32"/>
                <w:szCs w:val="32"/>
              </w:rPr>
              <w:t xml:space="preserve">ПАМЯТКА </w:t>
            </w:r>
            <w:r/>
          </w:p>
          <w:p>
            <w:pPr>
              <w:pStyle w:val="814"/>
              <w:jc w:val="center"/>
              <w:rPr>
                <w:color w:val="800000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color w:val="800000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b/>
                <w:color w:val="333300"/>
                <w:sz w:val="28"/>
                <w:szCs w:val="28"/>
                <w:lang w:eastAsia="ru-RU"/>
              </w:rPr>
            </w:pP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О 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компенсации расходов</w:t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t xml:space="preserve"> лицам из числа </w:t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t xml:space="preserve">детей-сирот и детей, оставшихся без попечения родителей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, понесенных ими в связи с ремонтом жилых помещений, принадлежащих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им на праве собственности</w:t>
            </w:r>
            <w:r/>
          </w:p>
          <w:p>
            <w:pPr>
              <w:pStyle w:val="814"/>
              <w:jc w:val="center"/>
              <w:rPr>
                <w:b/>
                <w:color w:val="993366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b/>
                <w:color w:val="800000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color w:val="993366"/>
                <w:sz w:val="28"/>
                <w:szCs w:val="28"/>
              </w:rPr>
            </w:r>
            <w:r/>
          </w:p>
        </w:tc>
      </w:tr>
    </w:tbl>
    <w:p>
      <w:pPr>
        <w:pStyle w:val="814"/>
        <w:jc w:val="center"/>
        <w:tabs>
          <w:tab w:val="left" w:pos="1365" w:leader="none"/>
        </w:tabs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Закон Иркутской области </w:t>
      </w:r>
      <w:r/>
    </w:p>
    <w:p>
      <w:pPr>
        <w:pStyle w:val="814"/>
        <w:jc w:val="center"/>
        <w:tabs>
          <w:tab w:val="left" w:pos="1365" w:leader="none"/>
        </w:tabs>
        <w:rPr>
          <w:b/>
          <w:bCs/>
          <w:color w:val="800000"/>
          <w:sz w:val="28"/>
          <w:szCs w:val="28"/>
          <w:highlight w:val="none"/>
        </w:rPr>
      </w:pPr>
      <w:r>
        <w:rPr>
          <w:b/>
          <w:color w:val="800000"/>
          <w:sz w:val="28"/>
          <w:szCs w:val="28"/>
        </w:rPr>
        <w:t xml:space="preserve">от 17 декабря 2008 года № 107-оз «Об отдельных мерах социальной поддержки детей-сирот и детей, о</w:t>
      </w:r>
      <w:r>
        <w:rPr>
          <w:b/>
          <w:color w:val="800000"/>
          <w:sz w:val="28"/>
          <w:szCs w:val="28"/>
        </w:rPr>
        <w:t xml:space="preserve">с</w:t>
      </w:r>
      <w:r>
        <w:rPr>
          <w:b/>
          <w:color w:val="800000"/>
          <w:sz w:val="28"/>
          <w:szCs w:val="28"/>
        </w:rPr>
        <w:t xml:space="preserve">тавшихся без попечения родителей, лиц из числа детей-сирот и детей, оставшихся без попечения родителей, в Иркутской области»</w:t>
      </w:r>
      <w:r/>
    </w:p>
    <w:p>
      <w:pPr>
        <w:pStyle w:val="814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Постановление Правительства Иркутской области от 16 февраля 2012 г. N </w:t>
      </w:r>
      <w:r>
        <w:rPr>
          <w:rFonts w:ascii="Times New Roman" w:hAnsi="Times New Roman" w:eastAsia="Times New Roman" w:cs="Times New Roman"/>
          <w:i/>
          <w:color w:val="ff0000"/>
          <w:sz w:val="24"/>
        </w:rPr>
        <w:t xml:space="preserve">40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-</w:t>
      </w:r>
      <w:r>
        <w:rPr>
          <w:rFonts w:ascii="Times New Roman" w:hAnsi="Times New Roman" w:eastAsia="Times New Roman" w:cs="Times New Roman"/>
          <w:i/>
          <w:color w:val="ff0000"/>
          <w:sz w:val="24"/>
        </w:rPr>
        <w:t xml:space="preserve">ПП</w:t>
        <w:br/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"Об утверждении Положения о порядке предоставления лицам из числа детей-сирот и детей, оставшихся без попечения родителей, компенсации расходов, понесенных ими в связи с ремонтом жилых помещений, принадлежащих им на праве собственности"</w:t>
      </w:r>
      <w:r>
        <w:rPr>
          <w:color w:val="ff0000"/>
        </w:rPr>
      </w:r>
      <w:r/>
    </w:p>
    <w:tbl>
      <w:tblPr>
        <w:tblW w:w="10620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80"/>
        <w:gridCol w:w="7740"/>
      </w:tblGrid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1. Категория граждан, имеющая право на получение </w:t>
            </w:r>
            <w:r>
              <w:rPr>
                <w:b/>
                <w:color w:val="333300"/>
                <w:lang w:eastAsia="ru-RU"/>
              </w:rPr>
              <w:t xml:space="preserve">компенсации</w:t>
            </w:r>
            <w:r>
              <w:rPr>
                <w:b/>
                <w:color w:val="333300"/>
                <w:lang w:eastAsia="ru-RU"/>
              </w:rPr>
              <w:t xml:space="preserve"> 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4"/>
              <w:ind w:left="72" w:firstLine="468"/>
              <w:jc w:val="both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Лица из числа детей-сирот и детей, оставшихся без попечения родителей, компенсации расходов, понесенных ими в связи с ремонтом жилых помещений, принадлежащих им на праве собственности в возрасте до 19 лет включительно.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2. Куда обращаться</w:t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4"/>
              <w:ind w:left="72" w:firstLine="468"/>
              <w:jc w:val="both"/>
              <w:rPr>
                <w:b/>
                <w:bCs/>
                <w:color w:val="333300"/>
                <w:highlight w:val="none"/>
              </w:rPr>
            </w:pPr>
            <w:r>
              <w:rPr>
                <w:b/>
                <w:color w:val="333300"/>
              </w:rPr>
              <w:t xml:space="preserve">В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у</w:t>
            </w:r>
            <w:r>
              <w:rPr>
                <w:b/>
                <w:color w:val="333300"/>
              </w:rPr>
              <w:t xml:space="preserve">правление социальной защиты населения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Иркутской области </w:t>
            </w:r>
            <w:r>
              <w:rPr>
                <w:b/>
                <w:color w:val="333300"/>
              </w:rPr>
              <w:t xml:space="preserve">по месту жительства</w:t>
            </w:r>
            <w:r>
              <w:rPr>
                <w:b/>
                <w:color w:val="333300"/>
              </w:rPr>
              <w:t xml:space="preserve">.</w:t>
            </w:r>
            <w:r>
              <w:rPr>
                <w:b/>
                <w:color w:val="333300"/>
              </w:rPr>
            </w:r>
            <w:r/>
          </w:p>
          <w:p>
            <w:pPr>
              <w:ind w:left="72" w:firstLine="468"/>
              <w:jc w:val="both"/>
              <w:rPr>
                <w:b/>
                <w:bCs/>
                <w:color w:val="333300"/>
                <w:highlight w:val="none"/>
              </w:rPr>
            </w:pPr>
            <w:r>
              <w:rPr>
                <w:b/>
                <w:color w:val="333300"/>
                <w:highlight w:val="none"/>
              </w:rPr>
              <w:t xml:space="preserve">Способы подачаи заявления и документов:</w:t>
            </w:r>
            <w:r>
              <w:rPr>
                <w:b/>
                <w:color w:val="333300"/>
                <w:highlight w:val="none"/>
              </w:rPr>
            </w:r>
          </w:p>
          <w:p>
            <w:pPr>
              <w:pStyle w:val="654"/>
              <w:numPr>
                <w:ilvl w:val="0"/>
                <w:numId w:val="1"/>
              </w:numPr>
              <w:jc w:val="both"/>
              <w:rPr>
                <w:b/>
                <w:bCs/>
                <w:color w:val="333300"/>
              </w:rPr>
            </w:pPr>
            <w:r>
              <w:rPr>
                <w:b/>
                <w:color w:val="333300"/>
                <w:highlight w:val="none"/>
              </w:rPr>
              <w:t xml:space="preserve">Лично в органы социальной защиты;</w:t>
            </w:r>
            <w:r>
              <w:rPr>
                <w:b/>
                <w:color w:val="333300"/>
                <w:highlight w:val="none"/>
              </w:rPr>
            </w:r>
          </w:p>
          <w:p>
            <w:pPr>
              <w:pStyle w:val="654"/>
              <w:numPr>
                <w:ilvl w:val="0"/>
                <w:numId w:val="1"/>
              </w:numPr>
              <w:jc w:val="both"/>
              <w:rPr>
                <w:b/>
                <w:bCs/>
                <w:color w:val="333300"/>
              </w:rPr>
            </w:pPr>
            <w:r>
              <w:rPr>
                <w:b/>
                <w:color w:val="333300"/>
                <w:highlight w:val="none"/>
              </w:rPr>
              <w:t xml:space="preserve">Посредством почтовой связи</w:t>
            </w:r>
            <w:r>
              <w:rPr>
                <w:b/>
                <w:color w:val="333300"/>
                <w:highlight w:val="none"/>
              </w:rPr>
            </w:r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3. Размер </w:t>
            </w:r>
            <w:r>
              <w:rPr>
                <w:b/>
                <w:color w:val="333300"/>
              </w:rPr>
              <w:t xml:space="preserve">выплаты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4"/>
              <w:ind w:left="72" w:firstLine="468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В размере произведенных на ремонт жилого помещения затрат, но не более 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100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 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000</w:t>
            </w:r>
            <w:r>
              <w:rPr>
                <w:b/>
                <w:bCs/>
                <w:color w:val="333300"/>
                <w:lang w:eastAsia="ru-RU"/>
              </w:rPr>
              <w:t xml:space="preserve"> </w:t>
            </w:r>
            <w:r>
              <w:rPr>
                <w:b/>
                <w:bCs/>
                <w:color w:val="333300"/>
                <w:lang w:eastAsia="ru-RU"/>
              </w:rPr>
              <w:t xml:space="preserve">рублей.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4</w:t>
            </w:r>
            <w:r>
              <w:rPr>
                <w:b/>
                <w:color w:val="333300"/>
              </w:rPr>
              <w:t xml:space="preserve">. Документы</w:t>
            </w:r>
            <w:r>
              <w:rPr>
                <w:b/>
                <w:color w:val="333300"/>
              </w:rPr>
              <w:t xml:space="preserve">,</w:t>
            </w:r>
            <w:r>
              <w:rPr>
                <w:b/>
                <w:color w:val="333300"/>
              </w:rPr>
              <w:t xml:space="preserve"> предоставляемые заявителем </w:t>
            </w:r>
            <w:r>
              <w:rPr>
                <w:b/>
                <w:color w:val="333300"/>
              </w:rPr>
              <w:t xml:space="preserve">в </w:t>
            </w:r>
            <w:r>
              <w:rPr>
                <w:b/>
                <w:color w:val="333300"/>
              </w:rPr>
              <w:t xml:space="preserve">у</w:t>
            </w:r>
            <w:r>
              <w:rPr>
                <w:b/>
                <w:color w:val="333300"/>
              </w:rPr>
              <w:t xml:space="preserve">правление социальной защиты населения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  Иркутской области по месту жительства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4"/>
              <w:ind w:left="72" w:firstLine="468"/>
              <w:jc w:val="both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color w:val="4f6128" w:themeColor="accent3" w:themeShade="80"/>
                <w:lang w:eastAsia="ru-RU"/>
              </w:rPr>
              <w:t xml:space="preserve">Заявление, </w:t>
            </w:r>
            <w:r>
              <w:rPr>
                <w:b/>
                <w:color w:val="4f6128" w:themeColor="accent3" w:themeShade="80"/>
                <w:lang w:eastAsia="ru-RU"/>
              </w:rPr>
              <w:t xml:space="preserve">к которому </w:t>
            </w: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прилагаются: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pStyle w:val="814"/>
              <w:ind w:left="72" w:firstLine="468"/>
              <w:jc w:val="both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1) паспорт или иной документ, удостоверяющий личность лица;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pStyle w:val="814"/>
              <w:ind w:left="72" w:firstLine="468"/>
              <w:jc w:val="both"/>
              <w:rPr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2) документ, удостоверяющий личность и полномочия представителя лица, - в случае обращения с </w: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begin"/>
            </w:r>
            <w:r>
              <w:rPr>
                <w:b/>
                <w:bCs/>
                <w:color w:val="4f6128" w:themeColor="accent3" w:themeShade="80"/>
                <w:lang w:eastAsia="ru-RU"/>
              </w:rPr>
              <w:instrText xml:space="preserve">HYPERLINK consultantplus://offline/ref=CC98A8ADFDA79A39ED54C55057CC25D325CD88B35F880FA643BECC1B9E5D0D8EBC386E7B6A6AB8A5206A5AH939F </w:instrTex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separate"/>
            </w: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заявлением</w: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end"/>
            </w: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 представителя лица;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color w:val="4f6128" w:themeColor="accent3" w:themeShade="8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3) документы, подтверждающие право собственности на жилое помещение (в случае если право собственности на него не зарегистрировано в Едином государственном реестре недвижимости);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4) документы, подтверждающие понесенные расходы на ремонт жилого помещения (чеки, товарные чеки, договоры подряда с калькуляцией затрат, акты приема-передачи выполненных работ, расписки, квитанции по оплате ус</w:t>
            </w:r>
            <w:r>
              <w:rPr>
                <w:color w:val="4f6128" w:themeColor="accent3" w:themeShade="80"/>
              </w:rPr>
              <w:t xml:space="preserve">5) согласие на обработку персональных данных по форме, установленной  нормативным правовым актом министерства (далее - согласие на обработку  персональных данных).</w:t>
            </w: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луг по договору подряда);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highlight w:val="none"/>
              </w:rPr>
            </w:r>
            <w:r/>
          </w:p>
          <w:p>
            <w:pPr>
              <w:pStyle w:val="814"/>
              <w:ind w:left="72" w:firstLine="468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</w:r>
            <w:r>
              <w:rPr>
                <w:color w:val="4f6128" w:themeColor="accent3" w:themeShade="80"/>
              </w:rPr>
            </w:r>
            <w:r/>
          </w:p>
          <w:p>
            <w:pPr>
              <w:pStyle w:val="814"/>
              <w:ind w:left="72" w:firstLine="468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Лицо либо его представитель вправе приложить к </w: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begin"/>
            </w:r>
            <w:r>
              <w:rPr>
                <w:b/>
                <w:bCs/>
                <w:color w:val="4f6128" w:themeColor="accent3" w:themeShade="80"/>
                <w:lang w:eastAsia="ru-RU"/>
              </w:rPr>
              <w:instrText xml:space="preserve">HYPERLINK consultantplus://offline/ref=CC98A8ADFDA79A39ED54C55057CC25D325CD88B35F880FA643BECC1B9E5D0D8EBC386E7B6A6AB8A5206A5AH939F </w:instrTex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separate"/>
            </w: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заявлению</w:t>
            </w:r>
            <w:r>
              <w:rPr>
                <w:b/>
                <w:bCs/>
                <w:color w:val="4f6128" w:themeColor="accent3" w:themeShade="80"/>
                <w:lang w:eastAsia="ru-RU"/>
              </w:rPr>
              <w:fldChar w:fldCharType="end"/>
            </w: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 следующие документы: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spacing w:before="240" w:after="240"/>
              <w:rPr>
                <w:color w:val="4f6128" w:themeColor="accent3" w:themeShade="8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1) документы, подтверждающие право собственности на жилое помещение (в случае если право собственности на него зарегистрировано в Едином государственном реестре недвижимости);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2) документ, выданный органом местного самоуправления муниципального образования Иркутской области, подтверждающий, что жилое помещение не признано в установленном порядке непригодным для проживания, многоквартирный дом аварийным и подлежащим сносу или рек</w:t>
            </w: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</w:rPr>
              <w:t xml:space="preserve">онструкции;</w:t>
            </w:r>
            <w:r>
              <w:rPr>
                <w:color w:val="4f6128" w:themeColor="accent3" w:themeShade="80"/>
              </w:rPr>
            </w:r>
            <w:r/>
          </w:p>
          <w:p>
            <w:pPr>
              <w:ind w:left="0" w:right="0" w:firstLine="0"/>
              <w:spacing w:before="240" w:after="240"/>
              <w:rPr>
                <w:color w:val="4f6128" w:themeColor="accent3" w:themeShade="8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highlight w:val="none"/>
              </w:rPr>
            </w:r>
            <w:r>
              <w:rPr>
                <w:color w:val="4f6128" w:themeColor="accent3" w:themeShade="80"/>
              </w:rPr>
              <w:t xml:space="preserve">3) согласие на обработку персональных данных.</w:t>
            </w: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highlight w:val="none"/>
              </w:rPr>
            </w:r>
            <w:r/>
          </w:p>
          <w:p>
            <w:pPr>
              <w:ind w:left="0" w:right="0" w:firstLine="0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color w:val="4f6128" w:themeColor="accent3" w:themeShade="8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4f6128" w:themeColor="accent3" w:themeShade="80"/>
                <w:highlight w:val="none"/>
              </w:rPr>
            </w:r>
            <w:r>
              <w:rPr>
                <w:color w:val="4f6128" w:themeColor="accent3" w:themeShade="80"/>
              </w:rPr>
              <w:t xml:space="preserve">Учреждение в течение 20 календарных дней со дня обращения лица формирует  личное дело лица и направляет его в министерство для принятия решения о  предоставлении компенсации расходов на ремонт жилого помещения либо об  отказе в предоставлении компенсации р</w:t>
            </w:r>
            <w:r>
              <w:rPr>
                <w:color w:val="4f6128" w:themeColor="accent3" w:themeShade="80"/>
              </w:rPr>
              <w:t xml:space="preserve">асходов на ремонт жилого помещения.</w:t>
            </w:r>
            <w:r>
              <w:rPr>
                <w:color w:val="4f6128" w:themeColor="accent3" w:themeShade="80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4f6128" w:themeColor="accent3" w:themeShade="8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4f6128" w:themeColor="accent3" w:themeShade="80"/>
                <w:highlight w:val="none"/>
              </w:rPr>
            </w:r>
            <w:r>
              <w:rPr>
                <w:color w:val="4f6128" w:themeColor="accent3" w:themeShade="80"/>
              </w:rPr>
              <w:t xml:space="preserve">Министерство в течение 10 календарных дней со дня поступления в  министерство личного дела лица принимает решение о предоставлении  компенсации расходов на ремонт жилого помещения либо об отказе в  предоставлении компенсации расходов на ремонт жилого помещ</w:t>
            </w:r>
            <w:r>
              <w:rPr>
                <w:color w:val="4f6128" w:themeColor="accent3" w:themeShade="80"/>
              </w:rPr>
              <w:t xml:space="preserve">ения.</w:t>
            </w:r>
            <w:r>
              <w:rPr>
                <w:color w:val="4f6128" w:themeColor="accent3" w:themeShade="80"/>
                <w:highlight w:val="none"/>
              </w:rPr>
            </w:r>
            <w:r/>
          </w:p>
          <w:p>
            <w:pPr>
              <w:pStyle w:val="814"/>
              <w:ind w:left="72" w:firstLine="468"/>
              <w:rPr>
                <w:b/>
                <w:color w:val="4f6128" w:themeColor="accent3" w:themeShade="80"/>
              </w:rPr>
            </w:pPr>
            <w:r>
              <w:rPr>
                <w:b/>
                <w:color w:val="4f6128" w:themeColor="accent3" w:themeShade="80"/>
              </w:rPr>
            </w:r>
            <w:r>
              <w:rPr>
                <w:color w:val="4f6128" w:themeColor="accent3" w:themeShade="8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814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5. Период выплаты </w:t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814"/>
              <w:ind w:firstLine="540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  <w:t xml:space="preserve">Однократно.</w:t>
            </w:r>
            <w:r>
              <w:rPr>
                <w:b/>
                <w:color w:val="4f6128" w:themeColor="accent3" w:themeShade="80"/>
              </w:rPr>
            </w:r>
            <w:r/>
          </w:p>
          <w:p>
            <w:pPr>
              <w:ind w:firstLine="540"/>
              <w:jc w:val="both"/>
              <w:rPr>
                <w:b/>
                <w:bCs/>
                <w:color w:val="4f6128" w:themeColor="accent3" w:themeShade="80"/>
              </w:rPr>
            </w:pPr>
            <w:r>
              <w:rPr>
                <w:b/>
                <w:bCs/>
                <w:color w:val="4f6128" w:themeColor="accent3" w:themeShade="80"/>
                <w:lang w:eastAsia="ru-RU"/>
              </w:rPr>
            </w:r>
            <w:r>
              <w:rPr>
                <w:color w:val="4f6128" w:themeColor="accent3" w:themeShade="80"/>
              </w:rPr>
              <w:t xml:space="preserve">Предоставление компенсации расходов на ремонт жилого помещения  осуществляется путем перечисления денежных средств на указанный лицом  либо его представителем в заявлении лицевой счет, открытый в банке или  иной кредитной организации, в течение 30 календар</w:t>
            </w:r>
            <w:r>
              <w:rPr>
                <w:color w:val="4f6128" w:themeColor="accent3" w:themeShade="80"/>
              </w:rPr>
              <w:t xml:space="preserve">ных дней со дня  принятия решения о предоставлении компенсации на ремонт жилого  помещения.</w:t>
            </w:r>
            <w:r>
              <w:rPr>
                <w:color w:val="4f6128" w:themeColor="accent3" w:themeShade="80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284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en-US" w:bidi="ar-SA"/>
    </w:rPr>
  </w:style>
  <w:style w:type="character" w:styleId="815">
    <w:name w:val="Основной шрифт абзаца, Знак Знак Знак Знак Знак Знак Знак Знак Знак Знак Знак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tblPr/>
  </w:style>
  <w:style w:type="paragraph" w:styleId="819">
    <w:name w:val="Обычный (веб)"/>
    <w:basedOn w:val="814"/>
    <w:next w:val="819"/>
    <w:link w:val="814"/>
    <w:pPr>
      <w:spacing w:before="100" w:beforeAutospacing="1" w:after="100" w:afterAutospacing="1"/>
    </w:pPr>
    <w:rPr>
      <w:lang w:eastAsia="ru-RU"/>
    </w:rPr>
  </w:style>
  <w:style w:type="paragraph" w:styleId="820">
    <w:name w:val=" Знак Знак Знак Знак Знак Знак Знак Знак Знак"/>
    <w:basedOn w:val="814"/>
    <w:next w:val="820"/>
    <w:link w:val="814"/>
    <w:rPr>
      <w:rFonts w:ascii="Verdana" w:hAnsi="Verdana" w:cs="Verdana"/>
      <w:sz w:val="20"/>
      <w:szCs w:val="20"/>
      <w:lang w:val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paragraph" w:styleId="822">
    <w:name w:val=" Знак Знак Знак Знак Знак Знак1"/>
    <w:basedOn w:val="814"/>
    <w:next w:val="822"/>
    <w:link w:val="814"/>
    <w:rPr>
      <w:rFonts w:ascii="Verdana" w:hAnsi="Verdana" w:cs="Verdana"/>
      <w:sz w:val="20"/>
      <w:szCs w:val="20"/>
      <w:lang w:val="en-US"/>
    </w:rPr>
  </w:style>
  <w:style w:type="paragraph" w:styleId="823">
    <w:name w:val=" Знак Знак Знак Знак Знак Знак"/>
    <w:basedOn w:val="814"/>
    <w:next w:val="823"/>
    <w:link w:val="815"/>
    <w:rPr>
      <w:rFonts w:ascii="Verdana" w:hAnsi="Verdana" w:cs="Verdana"/>
      <w:sz w:val="20"/>
      <w:szCs w:val="20"/>
      <w:lang w:val="en-US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25</cp:revision>
  <dcterms:created xsi:type="dcterms:W3CDTF">2013-01-11T05:41:00Z</dcterms:created>
  <dcterms:modified xsi:type="dcterms:W3CDTF">2025-11-24T04:07:05Z</dcterms:modified>
  <cp:version>730895</cp:version>
</cp:coreProperties>
</file>