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440" w:type="dxa"/>
        <w:tblInd w:w="-612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33"/>
        <w:gridCol w:w="6307"/>
      </w:tblGrid>
      <w:tr>
        <w:trPr>
          <w:trHeight w:val="2516"/>
        </w:trPr>
        <w:tc>
          <w:tcPr>
            <w:tcW w:w="3803" w:type="dxa"/>
            <w:vAlign w:val="top"/>
            <w:textDirection w:val="lrTb"/>
            <w:noWrap w:val="false"/>
          </w:tcPr>
          <w:p>
            <w:pPr>
              <w:pStyle w:val="814"/>
              <w:ind w:left="-900" w:firstLine="900"/>
              <w:jc w:val="center"/>
              <w:rPr>
                <w:color w:val="008000"/>
                <w:sz w:val="28"/>
                <w:szCs w:val="28"/>
              </w:rPr>
            </w:pPr>
            <w:r>
              <w:rPr>
                <w:color w:val="008000"/>
                <w:sz w:val="28"/>
                <w:szCs w:val="28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58668" cy="2039112"/>
                      <wp:effectExtent l="0" t="0" r="0" b="0"/>
                      <wp:docPr id="1" name="_x0000_i1026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"/>
                              <pic:cNvPicPr/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058668" cy="203911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40.8pt;height:160.6pt;mso-wrap-distance-left:0.0pt;mso-wrap-distance-top:0.0pt;mso-wrap-distance-right:0.0pt;mso-wrap-distance-bottom:0.0pt;" stroked="f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008000"/>
                <w:sz w:val="28"/>
                <w:szCs w:val="28"/>
              </w:rPr>
            </w:r>
            <w:r/>
          </w:p>
        </w:tc>
        <w:tc>
          <w:tcPr>
            <w:tcBorders>
              <w:left w:val="none" w:color="000000" w:sz="4" w:space="0"/>
            </w:tcBorders>
            <w:tcW w:w="663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color w:val="800000"/>
                <w:sz w:val="16"/>
                <w:szCs w:val="16"/>
              </w:rPr>
            </w:pPr>
            <w:r>
              <w:rPr>
                <w:b/>
                <w:color w:val="800000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287f13"/>
                <w:sz w:val="28"/>
                <w:szCs w:val="28"/>
              </w:rPr>
            </w:pPr>
            <w:r>
              <w:rPr>
                <w:b/>
                <w:color w:val="287f13"/>
                <w:sz w:val="28"/>
                <w:szCs w:val="28"/>
              </w:rPr>
              <w:t xml:space="preserve">ПАМЯТКА </w:t>
            </w:r>
            <w:r>
              <w:rPr>
                <w:b/>
                <w:color w:val="287f13"/>
                <w:sz w:val="28"/>
                <w:szCs w:val="28"/>
              </w:rPr>
            </w:r>
            <w:r/>
          </w:p>
          <w:p>
            <w:pPr>
              <w:pStyle w:val="814"/>
              <w:jc w:val="center"/>
              <w:rPr>
                <w:color w:val="4a442a"/>
                <w:sz w:val="16"/>
                <w:szCs w:val="16"/>
              </w:rPr>
            </w:pPr>
            <w:r>
              <w:rPr>
                <w:color w:val="4a442a"/>
                <w:sz w:val="16"/>
                <w:szCs w:val="16"/>
              </w:rPr>
            </w:r>
            <w:r/>
          </w:p>
          <w:p>
            <w:pPr>
              <w:pStyle w:val="814"/>
              <w:jc w:val="center"/>
              <w:rPr>
                <w:b/>
                <w:color w:val="632423"/>
                <w:sz w:val="28"/>
                <w:szCs w:val="28"/>
              </w:rPr>
            </w:pP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о размере, условиях и порядке предоставления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социальных выплат в целях частичного возмещения расходов по приобретению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и установке индивидуальных и общих (для коммунальной квартиры) приборов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учета использования воды и электрической энергии отдельным категориям</w:t>
            </w:r>
            <w:r>
              <w:rPr>
                <w:color w:val="22272f"/>
                <w:sz w:val="28"/>
                <w:szCs w:val="28"/>
              </w:rPr>
              <w:br w:type="textWrapping" w:clear="all"/>
            </w:r>
            <w:r>
              <w:rPr>
                <w:color w:val="22272f"/>
                <w:sz w:val="28"/>
                <w:szCs w:val="28"/>
                <w:shd w:val="clear" w:color="auto" w:fill="ffffff"/>
              </w:rPr>
              <w:t xml:space="preserve">граждан, проживающим на территории Иркутской области</w:t>
            </w:r>
            <w:r>
              <w:rPr>
                <w:b/>
                <w:color w:val="632423"/>
                <w:sz w:val="28"/>
                <w:szCs w:val="28"/>
              </w:rPr>
            </w:r>
            <w:r/>
          </w:p>
        </w:tc>
      </w:tr>
    </w:tbl>
    <w:p>
      <w:pPr>
        <w:pStyle w:val="815"/>
      </w:pPr>
      <w:r>
        <w:t xml:space="preserve">Постановление Правительства Иркутской области от 19 октября 2011 г. N 319-ПП</w:t>
        <w:br w:type="textWrapping" w:clear="all"/>
        <w:t xml:space="preserve">"Об утверждении Положения о размере, условиях и порядке предоставления</w:t>
        <w:br w:type="textWrapping" w:clear="all"/>
        <w:t xml:space="preserve">социальных в</w:t>
      </w:r>
      <w:r>
        <w:t xml:space="preserve">ыплат в целях частичного возмещения расходов по приобретению</w:t>
        <w:br/>
        <w:t xml:space="preserve">и установке индивидуальных и общих (для коммунальной квартиры) приборов</w:t>
        <w:br/>
        <w:t xml:space="preserve">учета использования воды и электрической энергии отдельным категориям</w:t>
        <w:br/>
        <w:t xml:space="preserve">граждан, проживающим на территории Иркутской области"</w:t>
      </w:r>
      <w:r/>
    </w:p>
    <w:p>
      <w:pPr>
        <w:pStyle w:val="814"/>
        <w:ind w:firstLine="567"/>
        <w:jc w:val="center"/>
        <w:rPr>
          <w:color w:val="000080"/>
          <w:sz w:val="16"/>
          <w:szCs w:val="16"/>
        </w:rPr>
      </w:pPr>
      <w:r>
        <w:rPr>
          <w:color w:val="000080"/>
          <w:sz w:val="16"/>
          <w:szCs w:val="16"/>
        </w:rPr>
      </w:r>
      <w:r/>
    </w:p>
    <w:tbl>
      <w:tblPr>
        <w:tblW w:w="10065" w:type="dxa"/>
        <w:tblInd w:w="-318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shd w:val="clear" w:color="auto" w:fill="fde9d9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2836"/>
        <w:gridCol w:w="7229"/>
      </w:tblGrid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 Категории граждан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а) одиноко проживающим участникам Великой Отечественной войны, инвалидам Великой Отечественной войны;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б) одиноко проживающим гражданам, получающим пенсию в соответствии с </w:t>
            </w:r>
            <w:hyperlink r:id="rId9" w:tooltip="https://internet.garant.ru/#/document/12125128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от 15 декабря 2001 года N 166-ФЗ "О государственном пенсионном обеспечении в Российской Федерации", </w:t>
            </w:r>
            <w:hyperlink r:id="rId10" w:tooltip="https://internet.garant.ru/#/document/70552688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Федеральным законом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от 28 декабря 2013 года N 400-ФЗ "О страховых пенсиях" независимо от прекращения ими трудовой деятельности (далее - пенсионеры);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в) одному из членов семьи, состоящей из пенсионеров, а также одному из членов семьи, имеющей в своем составе участников Великой Отечественной войны, инвалидов Великой Отечественной войны, инвалидов, детей-инвалидов, лиц, проработавших в тылу в период с 22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июня 1941 года по 9 мая 1945 года не менее шести месяцев, исключая период работы на временно оккупированных территориях СССР, или награжденных орденами или медалями СССР за самоотверженный труд в период Великой Отечественной войны (далее - труженики тыла);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г) одному из родителей или одинокому родителю, имеющему в составе семьи трех и более детей, не достигших возраста 18 лет, включая усыновленных, удочеренных, принятых под опеку (попечительство), переданных на воспитание в приемную семью, без учета детей, на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ходящихся на полном государственном обеспечении, среднедушевой доход которой ниже двукратной </w:t>
            </w:r>
            <w:hyperlink r:id="rId11" w:tooltip="https://internet.garant.ru/#/document/21640430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величины прожиточного минимума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, установленной в целом по Иркутской области в расчете на душу населения;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д) одному из членов семьи, имеющей среднедушевой доход ниже </w:t>
            </w:r>
            <w:hyperlink r:id="rId12" w:tooltip="https://internet.garant.ru/#/document/21640430/entry/0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прожиточного минимума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, установленного в целом по Иркутской области в расчете на душу населения.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</w:p>
          <w:p>
            <w:pPr>
              <w:pStyle w:val="814"/>
              <w:ind w:firstLine="54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bookmarkEnd w:id="3"/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2. Меры социальной поддержки</w:t>
            </w:r>
            <w:r/>
          </w:p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Социальная выплата предоставляется гражданам,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которые приобрели и установили индивидуальные и общие (для коммунальной квартиры) приборы учета использования воды и электрической энергии после 1 января 2011 года, в пределах средств, предусмотренных в областном б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юджете на очередной финансовый год.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  <w:outlineLvl w:val="0"/>
            </w:pPr>
            <w:r>
              <w:rPr>
                <w:sz w:val="23"/>
                <w:szCs w:val="23"/>
              </w:rPr>
              <w:t xml:space="preserve">3. Размер и условия предоставления выплаты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   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При определении размера социальной выплаты учитываются фактически  понесенные расходы граждан по приобретению и установке индивидуальных и  общих (для коммунальной квартиры) приборов учета использования воды и  электрической энергии.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  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Социальная выплата предоставляется в размере 50 процентов от фактически  понесенных расходов по приобретению и установке индивидуальных и общих  (для коммунальной квартиры) приборов учета использования воды и  электрической энергии, но не более 5 тысяч руб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лей на приобретение и  установку всех приборов учета.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Социальные выплаты предоставляются гражданам при наличии одновременно следующих условий: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а) наличие заключенного договора с подрядной организацией на проведение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б) принадлежность гражданина к одной из категорий граждан, указанных в </w:t>
            </w:r>
            <w:hyperlink r:id="rId13" w:tooltip="https://internet.garant.ru/#/document/34733210/entry/23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пункте 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настоящего Положения;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в) наличие расходов по приобретению и установке индивидуальных и общих (для коммунальной квартиры) приборов учета использования воды и электрической энергии;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г) наличие права собственности на жилой дом (квартиру);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д) совместное проживание ребенка (детей) с гражданином, - для граждан, указанных в </w:t>
            </w:r>
            <w:hyperlink r:id="rId14" w:tooltip="https://internet.garant.ru/#/document/34733210/entry/34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подпункте "г" пункта 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настоящего Положения.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  <w:highlight w:val="none"/>
              </w:rPr>
            </w:r>
          </w:p>
        </w:tc>
      </w:tr>
      <w:tr>
        <w:trPr/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</w:t>
            </w:r>
            <w:r>
              <w:rPr>
                <w:sz w:val="23"/>
                <w:szCs w:val="23"/>
              </w:rPr>
              <w:t xml:space="preserve">. Куда обращаться</w:t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pStyle w:val="814"/>
              <w:ind w:right="34" w:firstLine="612"/>
              <w:jc w:val="both"/>
              <w:rPr>
                <w:rFonts w:ascii="Times New Roman" w:hAnsi="Times New Roman" w:cs="Times New Roman"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В управление социальной защиты населения по мес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ту жительства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.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pStyle w:val="814"/>
              <w:ind w:right="34" w:firstLine="612"/>
              <w:jc w:val="both"/>
              <w:rPr>
                <w:rFonts w:ascii="Times New Roman" w:hAnsi="Times New Roman" w:cs="Times New Roman"/>
                <w:sz w:val="27"/>
                <w:szCs w:val="27"/>
              </w:rPr>
              <w:outlineLvl w:val="1"/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508"/>
        </w:trPr>
        <w:tc>
          <w:tcPr>
            <w:shd w:val="clear" w:color="auto" w:fill="fde9d9"/>
            <w:tcW w:w="2836" w:type="dxa"/>
            <w:vAlign w:val="top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</w:t>
            </w:r>
            <w:r>
              <w:rPr>
                <w:sz w:val="23"/>
                <w:szCs w:val="23"/>
              </w:rPr>
              <w:t xml:space="preserve">. Документы, предоставляемые заявителем </w:t>
            </w:r>
            <w:r>
              <w:rPr>
                <w:sz w:val="23"/>
                <w:szCs w:val="23"/>
              </w:rPr>
            </w:r>
            <w:r/>
          </w:p>
        </w:tc>
        <w:tc>
          <w:tcPr>
            <w:shd w:val="clear" w:color="auto" w:fill="fde9d9"/>
            <w:tcW w:w="72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а) паспорт или иной документ, удостоверяющий личность гражданина;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б) документы, удостоверяющие личность и подтверждающие полномочия представителя гражданина, - в случае обращения с заявлением представителя гражданина;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в) документ, подтверждающий право собственности гражданина и (или) членов его семьи на жилой дом (квартиру);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color w:val="000000"/>
                <w:sz w:val="27"/>
                <w:szCs w:val="27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г) документы, удостоверяющие личность членов семьи гражданина, - для граждан, указанных в </w:t>
            </w:r>
            <w:hyperlink r:id="rId15" w:tooltip="https://internet.garant.ru/#/document/34733210/entry/33" w:history="1">
              <w:r>
                <w:rPr>
                  <w:rStyle w:val="822"/>
                  <w:rFonts w:ascii="Times New Roman" w:hAnsi="Times New Roman" w:eastAsia="Times New Roman" w:cs="Times New Roman"/>
                  <w:color w:val="0000ee"/>
                  <w:sz w:val="27"/>
                  <w:szCs w:val="27"/>
                  <w:u w:val="single"/>
                </w:rPr>
                <w:t xml:space="preserve">подпунктах "в" - "д" пункта 3</w:t>
              </w:r>
            </w:hyperlink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 настоящего Положения;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д) документы, подтверждающие регистрацию по месту жительства на территории Иркутской области гражданина и (или) гражданина и членов семьи гражданина, проживающих совместно с ним, и (или) решение суда об установлении факта совместного проживания гражданина 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и указанных им в заявлении членов семьи на территории Иркутской области;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е) заключенный договор с подрядной организацией на проведение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ж) акт приема-передачи выполненных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  <w:t xml:space="preserve">з) платежные документы, подтверждающие факт и размер понесенных расходов на приобретение и (или) оплату работ по установке индивидуальных и общих (для коммунальной квартиры) приборов учета использования воды и электрической энергии;</w:t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color w:val="000000"/>
                <w:sz w:val="27"/>
                <w:szCs w:val="27"/>
                <w:highlight w:val="non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и) документ установленного образца, подтверждающий принадлежность гражданина к соответствующей категории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  <w:t xml:space="preserve">;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</w:r>
          </w:p>
          <w:p>
            <w:pPr>
              <w:ind w:left="0" w:right="0" w:firstLine="0"/>
              <w:spacing w:before="240" w:after="240"/>
              <w:rPr>
                <w:rFonts w:ascii="Times New Roman" w:hAnsi="Times New Roman" w:cs="Times New Roman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к) согласие на обработку персональных данных по форме, установленной нормативным правовым актом уполномоченного органа.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  <w:highlight w:val="none"/>
              </w:rPr>
            </w:r>
          </w:p>
          <w:p>
            <w:pPr>
              <w:pStyle w:val="814"/>
              <w:ind w:firstLine="720"/>
              <w:jc w:val="both"/>
              <w:widowControl w:val="off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</w:r>
          </w:p>
        </w:tc>
      </w:tr>
      <w:tr>
        <w:trPr>
          <w:trHeight w:val="508"/>
        </w:trPr>
        <w:tc>
          <w:tcPr>
            <w:shd w:val="clear" w:color="ffffff" w:fill="fde9d9"/>
            <w:tcW w:w="2836" w:type="dxa"/>
            <w:vAlign w:val="top"/>
            <w:vMerge w:val="restart"/>
            <w:textDirection w:val="lrTb"/>
            <w:noWrap w:val="false"/>
          </w:tcPr>
          <w:p>
            <w:pPr>
              <w:pStyle w:val="814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Срок предоставления выплаты</w:t>
            </w:r>
            <w:r>
              <w:rPr>
                <w:sz w:val="23"/>
                <w:szCs w:val="23"/>
              </w:rPr>
            </w:r>
          </w:p>
        </w:tc>
        <w:tc>
          <w:tcPr>
            <w:shd w:val="clear" w:color="ffffff" w:fill="fde9d9"/>
            <w:tcW w:w="7229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240" w:after="240"/>
              <w:rPr>
                <w:rFonts w:ascii="Times New Roman" w:hAnsi="Times New Roman" w:cs="Times New Roman"/>
                <w:color w:val="000000"/>
                <w:sz w:val="27"/>
                <w:szCs w:val="27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не позднее 20 календарных дней со дня принятия решения о предоставлении  социальной выплаты перечисляет денежные средства на счет гражданина,  открытый в банке или иной кредитной организации, либо перечисляет  денежные средства через организации федерально</w:t>
            </w:r>
            <w:r>
              <w:rPr>
                <w:rFonts w:ascii="Times New Roman" w:hAnsi="Times New Roman" w:cs="Times New Roman"/>
                <w:sz w:val="27"/>
                <w:szCs w:val="27"/>
              </w:rPr>
              <w:t xml:space="preserve">й почтовой связи по выбору  гражданина.</w:t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7"/>
                <w:szCs w:val="27"/>
              </w:rPr>
            </w:r>
          </w:p>
        </w:tc>
      </w:tr>
    </w:tbl>
    <w:sectPr>
      <w:footnotePr/>
      <w:endnotePr/>
      <w:type w:val="nextPage"/>
      <w:pgSz w:w="11906" w:h="16838" w:orient="portrait"/>
      <w:pgMar w:top="539" w:right="926" w:bottom="567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Verdana">
    <w:panose1 w:val="020B0604030504040204"/>
  </w:font>
  <w:font w:name="Times New Roman">
    <w:panose1 w:val="02020603050405020304"/>
  </w:font>
  <w:font w:name="Times New Roman CYR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4"/>
    <w:next w:val="814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7">
    <w:name w:val="Heading 1 Char"/>
    <w:link w:val="636"/>
    <w:uiPriority w:val="9"/>
    <w:rPr>
      <w:rFonts w:ascii="Arial" w:hAnsi="Arial" w:eastAsia="Arial" w:cs="Arial"/>
      <w:sz w:val="40"/>
      <w:szCs w:val="40"/>
    </w:rPr>
  </w:style>
  <w:style w:type="paragraph" w:styleId="638">
    <w:name w:val="Heading 2"/>
    <w:basedOn w:val="814"/>
    <w:next w:val="814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9">
    <w:name w:val="Heading 2 Char"/>
    <w:link w:val="638"/>
    <w:uiPriority w:val="9"/>
    <w:rPr>
      <w:rFonts w:ascii="Arial" w:hAnsi="Arial" w:eastAsia="Arial" w:cs="Arial"/>
      <w:sz w:val="34"/>
    </w:rPr>
  </w:style>
  <w:style w:type="paragraph" w:styleId="640">
    <w:name w:val="Heading 3"/>
    <w:basedOn w:val="814"/>
    <w:next w:val="814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1">
    <w:name w:val="Heading 3 Char"/>
    <w:link w:val="640"/>
    <w:uiPriority w:val="9"/>
    <w:rPr>
      <w:rFonts w:ascii="Arial" w:hAnsi="Arial" w:eastAsia="Arial" w:cs="Arial"/>
      <w:sz w:val="30"/>
      <w:szCs w:val="30"/>
    </w:rPr>
  </w:style>
  <w:style w:type="paragraph" w:styleId="642">
    <w:name w:val="Heading 4"/>
    <w:basedOn w:val="814"/>
    <w:next w:val="814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3">
    <w:name w:val="Heading 4 Char"/>
    <w:link w:val="642"/>
    <w:uiPriority w:val="9"/>
    <w:rPr>
      <w:rFonts w:ascii="Arial" w:hAnsi="Arial" w:eastAsia="Arial" w:cs="Arial"/>
      <w:b/>
      <w:bCs/>
      <w:sz w:val="26"/>
      <w:szCs w:val="26"/>
    </w:rPr>
  </w:style>
  <w:style w:type="paragraph" w:styleId="644">
    <w:name w:val="Heading 5"/>
    <w:basedOn w:val="814"/>
    <w:next w:val="814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5">
    <w:name w:val="Heading 5 Char"/>
    <w:link w:val="644"/>
    <w:uiPriority w:val="9"/>
    <w:rPr>
      <w:rFonts w:ascii="Arial" w:hAnsi="Arial" w:eastAsia="Arial" w:cs="Arial"/>
      <w:b/>
      <w:bCs/>
      <w:sz w:val="24"/>
      <w:szCs w:val="24"/>
    </w:rPr>
  </w:style>
  <w:style w:type="paragraph" w:styleId="646">
    <w:name w:val="Heading 6"/>
    <w:basedOn w:val="814"/>
    <w:next w:val="814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7">
    <w:name w:val="Heading 6 Char"/>
    <w:link w:val="646"/>
    <w:uiPriority w:val="9"/>
    <w:rPr>
      <w:rFonts w:ascii="Arial" w:hAnsi="Arial" w:eastAsia="Arial" w:cs="Arial"/>
      <w:b/>
      <w:bCs/>
      <w:sz w:val="22"/>
      <w:szCs w:val="22"/>
    </w:rPr>
  </w:style>
  <w:style w:type="paragraph" w:styleId="648">
    <w:name w:val="Heading 7"/>
    <w:basedOn w:val="814"/>
    <w:next w:val="814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9">
    <w:name w:val="Heading 7 Char"/>
    <w:link w:val="64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0">
    <w:name w:val="Heading 8"/>
    <w:basedOn w:val="814"/>
    <w:next w:val="814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1">
    <w:name w:val="Heading 8 Char"/>
    <w:link w:val="650"/>
    <w:uiPriority w:val="9"/>
    <w:rPr>
      <w:rFonts w:ascii="Arial" w:hAnsi="Arial" w:eastAsia="Arial" w:cs="Arial"/>
      <w:i/>
      <w:iCs/>
      <w:sz w:val="22"/>
      <w:szCs w:val="22"/>
    </w:rPr>
  </w:style>
  <w:style w:type="paragraph" w:styleId="652">
    <w:name w:val="Heading 9"/>
    <w:basedOn w:val="814"/>
    <w:next w:val="814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3">
    <w:name w:val="Heading 9 Char"/>
    <w:link w:val="652"/>
    <w:uiPriority w:val="9"/>
    <w:rPr>
      <w:rFonts w:ascii="Arial" w:hAnsi="Arial" w:eastAsia="Arial" w:cs="Arial"/>
      <w:i/>
      <w:iCs/>
      <w:sz w:val="21"/>
      <w:szCs w:val="21"/>
    </w:rPr>
  </w:style>
  <w:style w:type="paragraph" w:styleId="654">
    <w:name w:val="List Paragraph"/>
    <w:basedOn w:val="814"/>
    <w:uiPriority w:val="34"/>
    <w:qFormat/>
    <w:pPr>
      <w:contextualSpacing/>
      <w:ind w:left="720"/>
    </w:pPr>
  </w:style>
  <w:style w:type="paragraph" w:styleId="655">
    <w:name w:val="No Spacing"/>
    <w:uiPriority w:val="1"/>
    <w:qFormat/>
    <w:pPr>
      <w:spacing w:before="0" w:after="0" w:line="240" w:lineRule="auto"/>
    </w:pPr>
  </w:style>
  <w:style w:type="paragraph" w:styleId="656">
    <w:name w:val="Title"/>
    <w:basedOn w:val="814"/>
    <w:next w:val="814"/>
    <w:link w:val="65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basedOn w:val="814"/>
    <w:next w:val="814"/>
    <w:link w:val="659"/>
    <w:uiPriority w:val="11"/>
    <w:qFormat/>
    <w:pPr>
      <w:spacing w:before="200" w:after="200"/>
    </w:pPr>
    <w:rPr>
      <w:sz w:val="24"/>
      <w:szCs w:val="24"/>
    </w:r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basedOn w:val="814"/>
    <w:next w:val="814"/>
    <w:link w:val="661"/>
    <w:uiPriority w:val="29"/>
    <w:qFormat/>
    <w:pPr>
      <w:ind w:left="720" w:right="720"/>
    </w:pPr>
    <w:rPr>
      <w:i/>
    </w:r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basedOn w:val="814"/>
    <w:next w:val="814"/>
    <w:link w:val="66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basedOn w:val="814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basedOn w:val="814"/>
    <w:link w:val="66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basedOn w:val="814"/>
    <w:next w:val="81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basedOn w:val="814"/>
    <w:link w:val="798"/>
    <w:uiPriority w:val="99"/>
    <w:semiHidden/>
    <w:unhideWhenUsed/>
    <w:pPr>
      <w:spacing w:after="40" w:line="240" w:lineRule="auto"/>
    </w:pPr>
    <w:rPr>
      <w:sz w:val="18"/>
    </w:r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basedOn w:val="814"/>
    <w:link w:val="801"/>
    <w:uiPriority w:val="99"/>
    <w:semiHidden/>
    <w:unhideWhenUsed/>
    <w:pPr>
      <w:spacing w:after="0" w:line="240" w:lineRule="auto"/>
    </w:pPr>
    <w:rPr>
      <w:sz w:val="20"/>
    </w:r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basedOn w:val="814"/>
    <w:next w:val="814"/>
    <w:uiPriority w:val="39"/>
    <w:unhideWhenUsed/>
    <w:pPr>
      <w:ind w:left="0" w:right="0" w:firstLine="0"/>
      <w:spacing w:after="57"/>
    </w:pPr>
  </w:style>
  <w:style w:type="paragraph" w:styleId="804">
    <w:name w:val="toc 2"/>
    <w:basedOn w:val="814"/>
    <w:next w:val="814"/>
    <w:uiPriority w:val="39"/>
    <w:unhideWhenUsed/>
    <w:pPr>
      <w:ind w:left="283" w:right="0" w:firstLine="0"/>
      <w:spacing w:after="57"/>
    </w:pPr>
  </w:style>
  <w:style w:type="paragraph" w:styleId="805">
    <w:name w:val="toc 3"/>
    <w:basedOn w:val="814"/>
    <w:next w:val="814"/>
    <w:uiPriority w:val="39"/>
    <w:unhideWhenUsed/>
    <w:pPr>
      <w:ind w:left="567" w:right="0" w:firstLine="0"/>
      <w:spacing w:after="57"/>
    </w:pPr>
  </w:style>
  <w:style w:type="paragraph" w:styleId="806">
    <w:name w:val="toc 4"/>
    <w:basedOn w:val="814"/>
    <w:next w:val="814"/>
    <w:uiPriority w:val="39"/>
    <w:unhideWhenUsed/>
    <w:pPr>
      <w:ind w:left="850" w:right="0" w:firstLine="0"/>
      <w:spacing w:after="57"/>
    </w:pPr>
  </w:style>
  <w:style w:type="paragraph" w:styleId="807">
    <w:name w:val="toc 5"/>
    <w:basedOn w:val="814"/>
    <w:next w:val="814"/>
    <w:uiPriority w:val="39"/>
    <w:unhideWhenUsed/>
    <w:pPr>
      <w:ind w:left="1134" w:right="0" w:firstLine="0"/>
      <w:spacing w:after="57"/>
    </w:pPr>
  </w:style>
  <w:style w:type="paragraph" w:styleId="808">
    <w:name w:val="toc 6"/>
    <w:basedOn w:val="814"/>
    <w:next w:val="814"/>
    <w:uiPriority w:val="39"/>
    <w:unhideWhenUsed/>
    <w:pPr>
      <w:ind w:left="1417" w:right="0" w:firstLine="0"/>
      <w:spacing w:after="57"/>
    </w:pPr>
  </w:style>
  <w:style w:type="paragraph" w:styleId="809">
    <w:name w:val="toc 7"/>
    <w:basedOn w:val="814"/>
    <w:next w:val="814"/>
    <w:uiPriority w:val="39"/>
    <w:unhideWhenUsed/>
    <w:pPr>
      <w:ind w:left="1701" w:right="0" w:firstLine="0"/>
      <w:spacing w:after="57"/>
    </w:pPr>
  </w:style>
  <w:style w:type="paragraph" w:styleId="810">
    <w:name w:val="toc 8"/>
    <w:basedOn w:val="814"/>
    <w:next w:val="814"/>
    <w:uiPriority w:val="39"/>
    <w:unhideWhenUsed/>
    <w:pPr>
      <w:ind w:left="1984" w:right="0" w:firstLine="0"/>
      <w:spacing w:after="57"/>
    </w:pPr>
  </w:style>
  <w:style w:type="paragraph" w:styleId="811">
    <w:name w:val="toc 9"/>
    <w:basedOn w:val="814"/>
    <w:next w:val="814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basedOn w:val="814"/>
    <w:next w:val="814"/>
    <w:uiPriority w:val="99"/>
    <w:unhideWhenUsed/>
    <w:pPr>
      <w:spacing w:after="0" w:afterAutospacing="0"/>
    </w:pPr>
  </w:style>
  <w:style w:type="paragraph" w:styleId="814" w:default="1">
    <w:name w:val="Normal"/>
    <w:next w:val="814"/>
    <w:link w:val="814"/>
    <w:qFormat/>
    <w:rPr>
      <w:sz w:val="24"/>
      <w:szCs w:val="24"/>
      <w:lang w:val="ru-RU" w:eastAsia="ru-RU" w:bidi="ar-SA"/>
    </w:rPr>
  </w:style>
  <w:style w:type="paragraph" w:styleId="815">
    <w:name w:val="Заголовок 1"/>
    <w:basedOn w:val="814"/>
    <w:next w:val="814"/>
    <w:link w:val="823"/>
    <w:uiPriority w:val="99"/>
    <w:qFormat/>
    <w:pPr>
      <w:jc w:val="center"/>
      <w:spacing w:before="108" w:after="108"/>
      <w:widowControl w:val="off"/>
      <w:outlineLvl w:val="0"/>
    </w:pPr>
    <w:rPr>
      <w:rFonts w:ascii="Times New Roman CYR" w:hAnsi="Times New Roman CYR" w:eastAsia="Times New Roman" w:cs="Times New Roman CYR"/>
      <w:b/>
      <w:bCs/>
      <w:color w:val="26282f"/>
    </w:rPr>
  </w:style>
  <w:style w:type="character" w:styleId="816">
    <w:name w:val="Основной шрифт абзаца, Знак Знак Знак Знак Знак Знак Знак Знак"/>
    <w:next w:val="816"/>
    <w:link w:val="820"/>
    <w:semiHidden/>
  </w:style>
  <w:style w:type="table" w:styleId="817">
    <w:name w:val="Обычная таблица"/>
    <w:next w:val="817"/>
    <w:link w:val="814"/>
    <w:semiHidden/>
    <w:tblPr/>
  </w:style>
  <w:style w:type="numbering" w:styleId="818">
    <w:name w:val="Нет списка"/>
    <w:next w:val="818"/>
    <w:link w:val="814"/>
    <w:semiHidden/>
  </w:style>
  <w:style w:type="table" w:styleId="819">
    <w:name w:val="Сетка таблицы"/>
    <w:basedOn w:val="817"/>
    <w:next w:val="819"/>
    <w:link w:val="814"/>
    <w:tblPr/>
  </w:style>
  <w:style w:type="paragraph" w:styleId="820">
    <w:name w:val=" Знак Знак Знак Знак Знак Знак"/>
    <w:basedOn w:val="814"/>
    <w:next w:val="820"/>
    <w:link w:val="816"/>
    <w:rPr>
      <w:rFonts w:ascii="Verdana" w:hAnsi="Verdana" w:cs="Verdana"/>
      <w:sz w:val="20"/>
      <w:szCs w:val="20"/>
      <w:lang w:val="en-US" w:eastAsia="en-US"/>
    </w:rPr>
  </w:style>
  <w:style w:type="paragraph" w:styleId="821">
    <w:name w:val="Текст выноски"/>
    <w:basedOn w:val="814"/>
    <w:next w:val="821"/>
    <w:link w:val="814"/>
    <w:semiHidden/>
    <w:rPr>
      <w:rFonts w:ascii="Tahoma" w:hAnsi="Tahoma" w:cs="Tahoma"/>
      <w:sz w:val="16"/>
      <w:szCs w:val="16"/>
    </w:rPr>
  </w:style>
  <w:style w:type="character" w:styleId="822">
    <w:name w:val="Гиперссылка"/>
    <w:next w:val="822"/>
    <w:link w:val="814"/>
    <w:rPr>
      <w:color w:val="0000ff"/>
      <w:u w:val="single"/>
    </w:rPr>
  </w:style>
  <w:style w:type="character" w:styleId="823">
    <w:name w:val="Заголовок 1 Знак"/>
    <w:next w:val="823"/>
    <w:link w:val="815"/>
    <w:uiPriority w:val="99"/>
    <w:rPr>
      <w:rFonts w:ascii="Times New Roman CYR" w:hAnsi="Times New Roman CYR" w:eastAsia="Times New Roman" w:cs="Times New Roman CYR"/>
      <w:b/>
      <w:bCs/>
      <w:color w:val="26282f"/>
      <w:sz w:val="24"/>
      <w:szCs w:val="24"/>
    </w:rPr>
  </w:style>
  <w:style w:type="character" w:styleId="824">
    <w:name w:val="Гипертекстовая ссылка"/>
    <w:next w:val="824"/>
    <w:link w:val="814"/>
    <w:uiPriority w:val="99"/>
    <w:rPr>
      <w:color w:val="106bbe"/>
    </w:rPr>
  </w:style>
  <w:style w:type="character" w:styleId="825" w:default="1">
    <w:name w:val="Default Paragraph Font"/>
    <w:uiPriority w:val="1"/>
    <w:semiHidden/>
    <w:unhideWhenUsed/>
  </w:style>
  <w:style w:type="numbering" w:styleId="826" w:default="1">
    <w:name w:val="No List"/>
    <w:uiPriority w:val="99"/>
    <w:semiHidden/>
    <w:unhideWhenUsed/>
  </w:style>
  <w:style w:type="table" w:styleId="827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Relationship Id="rId9" Type="http://schemas.openxmlformats.org/officeDocument/2006/relationships/hyperlink" Target="https://internet.garant.ru/#/document/12125128/entry/0" TargetMode="External"/><Relationship Id="rId10" Type="http://schemas.openxmlformats.org/officeDocument/2006/relationships/hyperlink" Target="https://internet.garant.ru/#/document/70552688/entry/0" TargetMode="External"/><Relationship Id="rId11" Type="http://schemas.openxmlformats.org/officeDocument/2006/relationships/hyperlink" Target="https://internet.garant.ru/#/document/21640430/entry/0" TargetMode="External"/><Relationship Id="rId12" Type="http://schemas.openxmlformats.org/officeDocument/2006/relationships/hyperlink" Target="https://internet.garant.ru/#/document/21640430/entry/0" TargetMode="External"/><Relationship Id="rId13" Type="http://schemas.openxmlformats.org/officeDocument/2006/relationships/hyperlink" Target="https://internet.garant.ru/#/document/34733210/entry/23" TargetMode="External"/><Relationship Id="rId14" Type="http://schemas.openxmlformats.org/officeDocument/2006/relationships/hyperlink" Target="https://internet.garant.ru/#/document/34733210/entry/34" TargetMode="External"/><Relationship Id="rId15" Type="http://schemas.openxmlformats.org/officeDocument/2006/relationships/hyperlink" Target="https://internet.garant.ru/#/document/34733210/entry/3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>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050-gvs</dc:creator>
  <cp:revision>26</cp:revision>
  <dcterms:created xsi:type="dcterms:W3CDTF">2014-12-23T09:45:00Z</dcterms:created>
  <dcterms:modified xsi:type="dcterms:W3CDTF">2025-11-24T07:06:58Z</dcterms:modified>
  <cp:version>983040</cp:version>
</cp:coreProperties>
</file>