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color w:val="800080"/>
          <w:sz w:val="26"/>
          <w:szCs w:val="26"/>
        </w:rPr>
      </w:pPr>
      <w:r>
        <w:rPr>
          <w:b/>
          <w:color w:val="800080"/>
          <w:sz w:val="26"/>
          <w:szCs w:val="26"/>
        </w:rPr>
      </w:r>
      <w:r/>
    </w:p>
    <w:tbl>
      <w:tblPr>
        <w:tblW w:w="10260" w:type="dxa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41"/>
        <w:gridCol w:w="591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2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color w:val="800080"/>
                <w:sz w:val="26"/>
                <w:szCs w:val="26"/>
              </w:rPr>
            </w:pPr>
            <w:r>
              <w:rPr>
                <w:b/>
                <w:color w:val="800080"/>
                <w:sz w:val="26"/>
                <w:szCs w:val="26"/>
              </w:rPr>
              <w:fldChar w:fldCharType="begin"/>
            </w:r>
            <w:r>
              <w:rPr>
                <w:b/>
                <w:color w:val="800080"/>
                <w:sz w:val="26"/>
                <w:szCs w:val="26"/>
              </w:rPr>
              <w:instrText xml:space="preserve"> SHAPE  \* MERGEFORMAT </w:instrText>
            </w:r>
            <w:r>
              <w:rPr>
                <w:b/>
                <w:color w:val="800080"/>
                <w:sz w:val="26"/>
                <w:szCs w:val="26"/>
              </w:rPr>
              <w:fldChar w:fldCharType="separate"/>
            </w:r>
            <w:r>
              <w:rPr>
                <w:b/>
                <w:color w:val="800080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501265" cy="1694815"/>
                      <wp:effectExtent l="0" t="0" r="0" b="0"/>
                      <wp:docPr id="1" name="_x0000_s103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01265" cy="169481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000099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96.9pt;height:133.4pt;mso-wrap-distance-left:0.0pt;mso-wrap-distance-top:0.0pt;mso-wrap-distance-right:0.0pt;mso-wrap-distance-bottom:0.0pt;" strokecolor="#000099" strokeweight="4.50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b/>
                <w:color w:val="800080"/>
                <w:sz w:val="26"/>
                <w:szCs w:val="26"/>
              </w:rPr>
              <w:fldChar w:fldCharType="end"/>
            </w:r>
            <w:r>
              <w:rPr>
                <w:b/>
                <w:color w:val="800080"/>
                <w:sz w:val="26"/>
                <w:szCs w:val="26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40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ПАМЯТКА </w:t>
            </w:r>
            <w:r/>
          </w:p>
          <w:p>
            <w:pPr>
              <w:pStyle w:val="814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единовременное и ежемесячное пособие</w:t>
            </w:r>
            <w:r/>
          </w:p>
          <w:p>
            <w:pPr>
              <w:pStyle w:val="814"/>
              <w:jc w:val="center"/>
              <w:rPr>
                <w:b/>
                <w:bCs/>
                <w:color w:val="000080"/>
                <w:sz w:val="28"/>
                <w:szCs w:val="28"/>
                <w:highlight w:val="none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при возникновении поствакцинальных осложнений, вызванными профилактическими прививками</w:t>
            </w:r>
            <w:r/>
          </w:p>
          <w:p>
            <w:pPr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  <w:highlight w:val="none"/>
              </w:rPr>
            </w:r>
            <w:r>
              <w:rPr>
                <w:b/>
                <w:color w:val="000080"/>
                <w:sz w:val="28"/>
                <w:szCs w:val="28"/>
                <w:highlight w:val="none"/>
              </w:rPr>
            </w:r>
          </w:p>
          <w:p>
            <w:pPr>
              <w:pStyle w:val="814"/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b/>
                <w:color w:val="800000"/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</w:r>
            <w:r/>
          </w:p>
          <w:p>
            <w:pPr>
              <w:pStyle w:val="814"/>
              <w:jc w:val="center"/>
              <w:rPr>
                <w:b/>
                <w:color w:val="800080"/>
                <w:sz w:val="26"/>
                <w:szCs w:val="26"/>
              </w:rPr>
            </w:pPr>
            <w:r>
              <w:rPr>
                <w:b/>
                <w:color w:val="800080"/>
                <w:sz w:val="26"/>
                <w:szCs w:val="26"/>
              </w:rPr>
            </w:r>
            <w:r/>
          </w:p>
        </w:tc>
      </w:tr>
    </w:tbl>
    <w:p>
      <w:pPr>
        <w:pStyle w:val="814"/>
        <w:jc w:val="center"/>
        <w:rPr>
          <w:b/>
          <w:color w:val="800080"/>
          <w:sz w:val="26"/>
          <w:szCs w:val="26"/>
        </w:rPr>
      </w:pPr>
      <w:r>
        <w:rPr>
          <w:b/>
          <w:color w:val="800080"/>
          <w:sz w:val="26"/>
          <w:szCs w:val="26"/>
        </w:rPr>
      </w:r>
      <w:r/>
    </w:p>
    <w:p>
      <w:pPr>
        <w:pStyle w:val="814"/>
        <w:jc w:val="center"/>
        <w:rPr>
          <w:b/>
          <w:color w:val="800080"/>
          <w:sz w:val="28"/>
          <w:szCs w:val="28"/>
        </w:rPr>
      </w:pPr>
      <w:r>
        <w:rPr>
          <w:b/>
          <w:color w:val="800080"/>
          <w:sz w:val="28"/>
          <w:szCs w:val="28"/>
        </w:rPr>
        <w:t xml:space="preserve">В соответствии с Федеральным Законом от </w:t>
      </w:r>
      <w:r>
        <w:rPr>
          <w:b/>
          <w:color w:val="800080"/>
          <w:sz w:val="28"/>
          <w:szCs w:val="28"/>
        </w:rPr>
        <w:t xml:space="preserve">17.09.1998</w:t>
      </w:r>
      <w:r>
        <w:rPr>
          <w:b/>
          <w:color w:val="800080"/>
          <w:sz w:val="28"/>
          <w:szCs w:val="28"/>
        </w:rPr>
        <w:t xml:space="preserve"> г. № </w:t>
      </w:r>
      <w:r>
        <w:rPr>
          <w:b/>
          <w:color w:val="800080"/>
          <w:sz w:val="28"/>
          <w:szCs w:val="28"/>
        </w:rPr>
        <w:t xml:space="preserve">157-ФЗ</w:t>
      </w:r>
      <w:r>
        <w:rPr>
          <w:b/>
          <w:color w:val="800080"/>
          <w:sz w:val="28"/>
          <w:szCs w:val="28"/>
        </w:rPr>
      </w:r>
      <w:r/>
    </w:p>
    <w:p>
      <w:pPr>
        <w:pStyle w:val="814"/>
        <w:jc w:val="center"/>
        <w:rPr>
          <w:b/>
          <w:bCs/>
          <w:color w:val="800080"/>
          <w:sz w:val="28"/>
          <w:szCs w:val="28"/>
          <w:highlight w:val="none"/>
        </w:rPr>
      </w:pPr>
      <w:r>
        <w:rPr>
          <w:b/>
          <w:color w:val="800080"/>
          <w:sz w:val="28"/>
          <w:szCs w:val="28"/>
        </w:rPr>
        <w:t xml:space="preserve">«</w:t>
      </w:r>
      <w:r>
        <w:rPr>
          <w:b/>
          <w:color w:val="800080"/>
          <w:sz w:val="28"/>
          <w:szCs w:val="28"/>
        </w:rPr>
        <w:t xml:space="preserve">Об иммунопрофилактике инфекционных болезней</w:t>
      </w:r>
      <w:r>
        <w:rPr>
          <w:b/>
          <w:color w:val="800080"/>
          <w:sz w:val="28"/>
          <w:szCs w:val="28"/>
        </w:rPr>
        <w:t xml:space="preserve">»</w:t>
      </w:r>
      <w:r>
        <w:rPr>
          <w:b/>
          <w:color w:val="800080"/>
          <w:sz w:val="28"/>
          <w:szCs w:val="28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br/>
      </w:r>
      <w:r>
        <w:rPr>
          <w:b/>
          <w:color w:val="800080"/>
          <w:sz w:val="28"/>
          <w:szCs w:val="28"/>
          <w:highlight w:val="none"/>
        </w:rPr>
      </w:r>
      <w:r/>
    </w:p>
    <w:tbl>
      <w:tblPr>
        <w:tblpPr w:horzAnchor="page" w:tblpX="1464" w:vertAnchor="page" w:tblpY="5325" w:leftFromText="180" w:topFromText="0" w:rightFromText="180" w:bottomFromText="0"/>
        <w:tblW w:w="1000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f2dbdb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88"/>
        <w:gridCol w:w="7020"/>
      </w:tblGrid>
      <w:tr>
        <w:trPr/>
        <w:tc>
          <w:tcPr>
            <w:shd w:val="clear" w:color="auto" w:fill="f2dbdb"/>
            <w:tcW w:w="2988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1. Категория граждан, имеющая право на получение </w:t>
            </w:r>
            <w:r>
              <w:rPr>
                <w:color w:val="000080"/>
                <w:sz w:val="27"/>
                <w:szCs w:val="27"/>
              </w:rPr>
              <w:t xml:space="preserve">единовременного пособия при возникновении </w:t>
            </w:r>
            <w:r>
              <w:rPr>
                <w:color w:val="000080"/>
                <w:sz w:val="27"/>
                <w:szCs w:val="27"/>
              </w:rPr>
              <w:t xml:space="preserve">у них поствакцинальных</w:t>
            </w:r>
            <w:r>
              <w:rPr>
                <w:color w:val="000080"/>
                <w:sz w:val="27"/>
                <w:szCs w:val="27"/>
              </w:rPr>
              <w:t xml:space="preserve"> осложнени</w:t>
            </w:r>
            <w:r>
              <w:rPr>
                <w:color w:val="000080"/>
                <w:sz w:val="27"/>
                <w:szCs w:val="27"/>
              </w:rPr>
              <w:t xml:space="preserve">й</w:t>
            </w:r>
            <w:r>
              <w:rPr>
                <w:color w:val="000080"/>
                <w:sz w:val="27"/>
                <w:szCs w:val="27"/>
              </w:rPr>
              <w:t xml:space="preserve">, вызванными профилактическими прививками</w:t>
            </w: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814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  <w:tc>
          <w:tcPr>
            <w:shd w:val="clear" w:color="auto" w:fill="f2dbdb"/>
            <w:tcW w:w="7020" w:type="dxa"/>
            <w:vAlign w:val="top"/>
            <w:textDirection w:val="lrTb"/>
            <w:noWrap w:val="false"/>
          </w:tcPr>
          <w:p>
            <w:pPr>
              <w:ind w:firstLine="432"/>
              <w:jc w:val="both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  <w:highlight w:val="none"/>
              </w:rPr>
            </w:r>
            <w:r>
              <w:rPr>
                <w:color w:val="000080"/>
                <w:sz w:val="27"/>
                <w:szCs w:val="27"/>
                <w:highlight w:val="none"/>
              </w:rPr>
            </w:r>
          </w:p>
          <w:p>
            <w:pPr>
              <w:pStyle w:val="814"/>
              <w:ind w:firstLine="432"/>
              <w:jc w:val="both"/>
              <w:rPr>
                <w:color w:val="000080"/>
                <w:sz w:val="27"/>
                <w:szCs w:val="27"/>
                <w:highlight w:val="none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- </w:t>
            </w:r>
            <w:r>
              <w:rPr>
                <w:color w:val="000080"/>
                <w:sz w:val="27"/>
                <w:szCs w:val="27"/>
              </w:rPr>
              <w:t xml:space="preserve">граждане, у которых установлено наличие поствакцинального осложнения</w:t>
            </w:r>
            <w:r/>
          </w:p>
          <w:p>
            <w:pPr>
              <w:pStyle w:val="814"/>
              <w:ind w:firstLine="432"/>
              <w:jc w:val="both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- члены семьи гражданина в случае его смерти, наступившей вследствие поствакцинального осложнения</w:t>
            </w:r>
            <w:r/>
          </w:p>
          <w:p>
            <w:pPr>
              <w:pStyle w:val="814"/>
              <w:ind w:firstLine="432"/>
              <w:jc w:val="both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</w:tr>
      <w:tr>
        <w:trPr/>
        <w:tc>
          <w:tcPr>
            <w:shd w:val="clear" w:color="auto" w:fill="f2dbdb"/>
            <w:tcW w:w="2988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814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2. Куда обращаться</w:t>
            </w:r>
            <w:r/>
          </w:p>
        </w:tc>
        <w:tc>
          <w:tcPr>
            <w:shd w:val="clear" w:color="auto" w:fill="f2dbdb"/>
            <w:tcW w:w="7020" w:type="dxa"/>
            <w:vAlign w:val="top"/>
            <w:textDirection w:val="lrTb"/>
            <w:noWrap w:val="false"/>
          </w:tcPr>
          <w:p>
            <w:pPr>
              <w:pStyle w:val="814"/>
              <w:ind w:firstLine="432"/>
              <w:jc w:val="both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В</w:t>
            </w:r>
            <w:r>
              <w:rPr>
                <w:color w:val="000080"/>
                <w:sz w:val="27"/>
                <w:szCs w:val="27"/>
              </w:rPr>
              <w:t xml:space="preserve"> </w:t>
            </w:r>
            <w:r>
              <w:rPr>
                <w:color w:val="000080"/>
                <w:sz w:val="27"/>
                <w:szCs w:val="27"/>
              </w:rPr>
              <w:t xml:space="preserve">управление социальной защиты населения</w:t>
            </w:r>
            <w:r>
              <w:rPr>
                <w:color w:val="000080"/>
                <w:sz w:val="27"/>
                <w:szCs w:val="27"/>
              </w:rPr>
              <w:t xml:space="preserve"> </w:t>
            </w:r>
            <w:r>
              <w:rPr>
                <w:color w:val="000080"/>
                <w:sz w:val="27"/>
                <w:szCs w:val="27"/>
              </w:rPr>
              <w:t xml:space="preserve">Иркутской области </w:t>
            </w:r>
            <w:r>
              <w:rPr>
                <w:color w:val="000080"/>
                <w:sz w:val="27"/>
                <w:szCs w:val="27"/>
              </w:rPr>
              <w:t xml:space="preserve">по месту жительства</w:t>
            </w: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814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</w:tr>
      <w:tr>
        <w:trPr/>
        <w:tc>
          <w:tcPr>
            <w:shd w:val="clear" w:color="auto" w:fill="f2dbdb"/>
            <w:tcW w:w="2988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814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3. Размер пособия </w:t>
            </w:r>
            <w:r/>
          </w:p>
        </w:tc>
        <w:tc>
          <w:tcPr>
            <w:shd w:val="clear" w:color="auto" w:fill="f2dbdb"/>
            <w:tcW w:w="7020" w:type="dxa"/>
            <w:vAlign w:val="top"/>
            <w:textDirection w:val="lrTb"/>
            <w:noWrap w:val="false"/>
          </w:tcPr>
          <w:p>
            <w:pPr>
              <w:pStyle w:val="814"/>
              <w:ind w:firstLine="432"/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814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  <w:outlineLvl w:val="1"/>
            </w:pPr>
            <w:r>
              <w:rPr>
                <w:b/>
                <w:bCs/>
                <w:color w:val="000080"/>
                <w:sz w:val="27"/>
                <w:szCs w:val="27"/>
              </w:rPr>
              <w:t xml:space="preserve">10 000 рублей</w:t>
            </w:r>
            <w:r>
              <w:rPr>
                <w:color w:val="000080"/>
                <w:sz w:val="27"/>
                <w:szCs w:val="27"/>
              </w:rPr>
              <w:t xml:space="preserve"> (единовременно) </w:t>
            </w:r>
            <w:r>
              <w:rPr>
                <w:color w:val="000080"/>
                <w:sz w:val="27"/>
                <w:szCs w:val="27"/>
                <w:highlight w:val="none"/>
              </w:rPr>
            </w:r>
          </w:p>
          <w:p>
            <w:pPr>
              <w:ind w:firstLine="432"/>
              <w:jc w:val="both"/>
              <w:rPr>
                <w:color w:val="000080"/>
                <w:sz w:val="27"/>
                <w:szCs w:val="27"/>
                <w:highlight w:val="none"/>
              </w:rPr>
              <w:framePr w:hSpace="180" w:wrap="around" w:vAnchor="page" w:hAnchor="page" w:x="1464" w:y="5325"/>
              <w:outlineLvl w:val="1"/>
            </w:pPr>
            <w:r>
              <w:rPr>
                <w:sz w:val="27"/>
                <w:szCs w:val="27"/>
                <w:highlight w:val="none"/>
              </w:rPr>
            </w:r>
            <w:r>
              <w:rPr>
                <w:sz w:val="27"/>
                <w:szCs w:val="27"/>
                <w:highlight w:val="none"/>
              </w:rPr>
            </w:r>
          </w:p>
          <w:p>
            <w:pPr>
              <w:ind w:firstLine="432"/>
              <w:jc w:val="both"/>
              <w:rPr>
                <w:sz w:val="27"/>
                <w:szCs w:val="27"/>
                <w:highlight w:val="none"/>
              </w:rPr>
              <w:framePr w:hSpace="180" w:wrap="around" w:vAnchor="page" w:hAnchor="page" w:x="1464" w:y="5325"/>
              <w:outlineLvl w:val="1"/>
            </w:pPr>
            <w:r>
              <w:rPr>
                <w:color w:val="000080"/>
                <w:sz w:val="27"/>
                <w:szCs w:val="27"/>
              </w:rPr>
            </w:r>
            <w:r>
              <w:rPr>
                <w:sz w:val="27"/>
                <w:szCs w:val="27"/>
              </w:rPr>
              <w:t xml:space="preserve">В случае смерти гражданина, наступившей вследствие поствакцинального  осложнения, право на получение государственного единовременного пособия в  размере </w:t>
            </w:r>
            <w:r>
              <w:rPr>
                <w:b/>
                <w:bCs/>
                <w:sz w:val="27"/>
                <w:szCs w:val="27"/>
              </w:rPr>
              <w:t xml:space="preserve">30000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bCs/>
                <w:sz w:val="27"/>
                <w:szCs w:val="27"/>
              </w:rPr>
              <w:t xml:space="preserve">рублей</w:t>
            </w:r>
            <w:r>
              <w:rPr>
                <w:sz w:val="27"/>
                <w:szCs w:val="27"/>
              </w:rPr>
              <w:t xml:space="preserve"> имеют члены его семьи.</w:t>
            </w:r>
            <w:r>
              <w:rPr>
                <w:b/>
                <w:bCs/>
                <w:sz w:val="27"/>
                <w:szCs w:val="27"/>
              </w:rPr>
              <w:t xml:space="preserve">(единовременно)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Круг членов семьи, имеющих право на получение указанного пособия, определяется в соответствии со </w:t>
            </w:r>
            <w:hyperlink r:id="rId9" w:tooltip="https://internet.garant.ru/#/document/70552688/entry/10" w:history="1">
              <w:r>
                <w:rPr>
                  <w:rStyle w:val="796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статьей 10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Федерального закона "О страховых пенсиях".</w:t>
            </w:r>
            <w:r>
              <w:rPr>
                <w:color w:val="000080"/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firstLine="432"/>
              <w:rPr>
                <w:color w:val="000080"/>
                <w:sz w:val="27"/>
                <w:szCs w:val="27"/>
                <w:highlight w:val="none"/>
              </w:rPr>
              <w:framePr w:hSpace="180" w:wrap="around" w:vAnchor="page" w:hAnchor="page" w:x="1464" w:y="5325"/>
              <w:outlineLvl w:val="1"/>
            </w:pPr>
            <w:r>
              <w:rPr>
                <w:color w:val="000080"/>
                <w:sz w:val="27"/>
                <w:szCs w:val="27"/>
                <w:highlight w:val="none"/>
              </w:rPr>
            </w:r>
            <w:r>
              <w:rPr>
                <w:color w:val="000080"/>
                <w:sz w:val="27"/>
                <w:szCs w:val="27"/>
                <w:highlight w:val="none"/>
              </w:rPr>
            </w:r>
          </w:p>
          <w:p>
            <w:pPr>
              <w:ind w:firstLine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highlight w:val="none"/>
              </w:rPr>
              <w:framePr w:hSpace="180" w:wrap="around" w:vAnchor="page" w:hAnchor="page" w:x="1464" w:y="5325"/>
              <w:outlineLvl w:val="1"/>
            </w:pPr>
            <w:r>
              <w:rPr>
                <w:color w:val="000080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Гражданин, признанный инвалидом вследствие </w:t>
            </w:r>
            <w:hyperlink r:id="rId10" w:tooltip="https://internet.garant.ru/#/document/12113020/entry/105" w:history="1">
              <w:r>
                <w:rPr>
                  <w:rStyle w:val="796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поствакцинального осложнения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, имеет право на получение ежемесячной денежной компенсации в размере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1770,81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(с 1 января 2025 года).</w:t>
            </w:r>
            <w:r>
              <w:rPr>
                <w:b/>
                <w:bCs/>
                <w:color w:val="000080"/>
                <w:sz w:val="27"/>
                <w:szCs w:val="27"/>
                <w:highlight w:val="none"/>
              </w:rPr>
            </w:r>
          </w:p>
          <w:p>
            <w:pPr>
              <w:ind w:firstLine="0"/>
              <w:jc w:val="both"/>
              <w:rPr>
                <w:b/>
                <w:bCs/>
                <w:color w:val="000080"/>
                <w:sz w:val="27"/>
                <w:szCs w:val="27"/>
              </w:rPr>
              <w:framePr w:hSpace="180" w:wrap="around" w:vAnchor="page" w:hAnchor="page" w:x="1464" w:y="5325"/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Размер ежемесячной денежной компенсации подлежит индексации один раз в год с 1 января финансового года исходя из установленного </w:t>
            </w:r>
            <w:hyperlink r:id="rId11" w:tooltip="https://internet.garant.ru/#/document/5759555/entry/0" w:history="1">
              <w:r>
                <w:rPr>
                  <w:rStyle w:val="796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федеральным 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о федеральном бюджете на соответствующий финансовый год и плановый период прогнозируемого уровня инфляции.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7"/>
                <w:szCs w:val="27"/>
                <w:highlight w:val="none"/>
              </w:rPr>
            </w:r>
          </w:p>
          <w:p>
            <w:pPr>
              <w:pStyle w:val="814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814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</w:tr>
      <w:tr>
        <w:trPr/>
        <w:tc>
          <w:tcPr>
            <w:shd w:val="clear" w:color="auto" w:fill="f2dbdb"/>
            <w:tcW w:w="2988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4. Документы, предоставляемые заявителем в управление министерства социального развития, опеки и попечительства Иркутской области по месту жительства</w:t>
            </w: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814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  <w:tc>
          <w:tcPr>
            <w:shd w:val="clear" w:color="auto" w:fill="f2dbdb"/>
            <w:tcW w:w="7020" w:type="dxa"/>
            <w:vAlign w:val="top"/>
            <w:textDirection w:val="lrTb"/>
            <w:noWrap w:val="false"/>
          </w:tcPr>
          <w:p>
            <w:pPr>
              <w:pStyle w:val="814"/>
              <w:ind w:firstLine="432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814"/>
              <w:ind w:firstLine="432"/>
              <w:jc w:val="both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  <w:t xml:space="preserve">а) заявление о назначении и выплате пособия;</w:t>
            </w:r>
            <w:r/>
          </w:p>
          <w:p>
            <w:pPr>
              <w:pStyle w:val="814"/>
              <w:ind w:firstLine="432"/>
              <w:jc w:val="both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  <w:t xml:space="preserve">б) документы, подтверждающие факт поствакцинального осложнения (заключение об установлении факта поствакцинального осложнения; свидетельство о смерти).</w:t>
            </w:r>
            <w:r/>
          </w:p>
          <w:p>
            <w:pPr>
              <w:pStyle w:val="814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</w:tr>
      <w:tr>
        <w:trPr/>
        <w:tc>
          <w:tcPr>
            <w:shd w:val="clear" w:color="ffffff" w:fill="f2dbdb"/>
            <w:tcW w:w="2988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Сроки предоставления компенсации</w:t>
            </w:r>
            <w:r>
              <w:rPr>
                <w:color w:val="000080"/>
                <w:sz w:val="27"/>
                <w:szCs w:val="27"/>
              </w:rPr>
            </w:r>
          </w:p>
        </w:tc>
        <w:tc>
          <w:tcPr>
            <w:shd w:val="clear" w:color="ffffff" w:fill="f2dbdb"/>
            <w:tcW w:w="70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Государственное единовременное пособие выплачивается со дня установления факта поствакцинального осложнения.</w:t>
            </w:r>
            <w:r/>
          </w:p>
          <w:p>
            <w:pPr>
              <w:ind w:left="0" w:right="0" w:firstLine="0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Ежемесячная денежная компенсация выплачивается со дня установления инвалидности вследствие поствакцинального осложнения.</w:t>
            </w:r>
            <w:r/>
          </w:p>
          <w:p>
            <w:pPr>
              <w:pStyle w:val="814"/>
              <w:ind w:firstLine="432"/>
              <w:rPr>
                <w:color w:val="000080"/>
                <w:sz w:val="27"/>
                <w:szCs w:val="27"/>
              </w:rPr>
            </w:pPr>
            <w:r>
              <w:rPr>
                <w:color w:val="000080"/>
                <w:sz w:val="27"/>
                <w:szCs w:val="27"/>
              </w:rPr>
            </w:r>
            <w:r>
              <w:rPr>
                <w:color w:val="000080"/>
                <w:sz w:val="27"/>
                <w:szCs w:val="27"/>
              </w:rPr>
            </w:r>
          </w:p>
        </w:tc>
      </w:tr>
      <w:tr>
        <w:trPr/>
        <w:tc>
          <w:tcPr>
            <w:shd w:val="clear" w:color="auto" w:fill="f2dbdb"/>
            <w:tcW w:w="2988" w:type="dxa"/>
            <w:vAlign w:val="top"/>
            <w:textDirection w:val="lrTb"/>
            <w:noWrap w:val="false"/>
          </w:tcPr>
          <w:p>
            <w:pPr>
              <w:pStyle w:val="814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5. </w:t>
            </w:r>
            <w:r>
              <w:rPr>
                <w:color w:val="000080"/>
                <w:sz w:val="27"/>
                <w:szCs w:val="27"/>
              </w:rPr>
              <w:t xml:space="preserve">Периодичность выплаты</w:t>
            </w:r>
            <w:r>
              <w:rPr>
                <w:color w:val="000080"/>
                <w:sz w:val="27"/>
                <w:szCs w:val="27"/>
              </w:rPr>
            </w:r>
            <w:r/>
          </w:p>
        </w:tc>
        <w:tc>
          <w:tcPr>
            <w:shd w:val="clear" w:color="auto" w:fill="f2dbdb"/>
            <w:tcW w:w="7020" w:type="dxa"/>
            <w:vAlign w:val="top"/>
            <w:textDirection w:val="lrTb"/>
            <w:noWrap w:val="false"/>
          </w:tcPr>
          <w:p>
            <w:pPr>
              <w:pStyle w:val="814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  <w:t xml:space="preserve">Единовременно/Ежемесячно</w:t>
            </w:r>
            <w:r>
              <w:rPr>
                <w:color w:val="000080"/>
                <w:sz w:val="27"/>
                <w:szCs w:val="27"/>
              </w:rPr>
            </w:r>
            <w:r/>
          </w:p>
          <w:p>
            <w:pPr>
              <w:pStyle w:val="814"/>
              <w:ind w:firstLine="432"/>
              <w:rPr>
                <w:color w:val="000080"/>
                <w:sz w:val="27"/>
                <w:szCs w:val="27"/>
              </w:rPr>
              <w:framePr w:hSpace="180" w:wrap="around" w:vAnchor="page" w:hAnchor="page" w:x="1464" w:y="5325"/>
            </w:pPr>
            <w:r>
              <w:rPr>
                <w:color w:val="000080"/>
                <w:sz w:val="27"/>
                <w:szCs w:val="27"/>
              </w:rPr>
            </w:r>
            <w:r/>
          </w:p>
        </w:tc>
      </w:tr>
    </w:tbl>
    <w:p>
      <w:r/>
      <w:r/>
    </w:p>
    <w:p>
      <w:pPr>
        <w:jc w:val="both"/>
        <w:rPr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</w:r>
      <w:r>
        <w:rPr>
          <w:color w:val="ff0000"/>
          <w:sz w:val="28"/>
          <w:szCs w:val="28"/>
        </w:rPr>
        <w:t xml:space="preserve">Приказ Министерства социального развития, опеки и попечительства Иркутской области от 27 августа 2014 г. N 128-МПР "Об  отдельных вопросах реализации министерством социального развития, опеки  и попечительства Иркутской области отдельных полномочий Российс</w:t>
      </w:r>
      <w:r>
        <w:rPr>
          <w:color w:val="ff0000"/>
          <w:sz w:val="28"/>
          <w:szCs w:val="28"/>
        </w:rPr>
        <w:t xml:space="preserve">кой  Федерации, переданных для осуществления органам государственной власти  Иркутской области"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highlight w:val="none"/>
        </w:rPr>
      </w:pPr>
      <w:r>
        <w:rPr>
          <w:b/>
          <w:bCs/>
          <w:color w:val="ff0000"/>
          <w:sz w:val="28"/>
          <w:szCs w:val="28"/>
        </w:rPr>
      </w:r>
      <w:hyperlink r:id="rId12" w:tooltip="https://internet.garant.ru/#/document/12116455/entry/1000" w:history="1">
        <w:r>
          <w:rPr>
            <w:rStyle w:val="796"/>
            <w:rFonts w:ascii="Times New Roman" w:hAnsi="Times New Roman" w:eastAsia="Times New Roman" w:cs="Times New Roman"/>
            <w:b/>
            <w:bCs/>
            <w:color w:val="ff0000"/>
            <w:sz w:val="28"/>
            <w:szCs w:val="28"/>
            <w:u w:val="singl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 xml:space="preserve"> поствакцинальных осложнений, дающих право гражданам на получение государственных единовременных пособий, утверждается уполномоченным Правительством Российской Федерации федеральным органом исполнительной власти.</w:t>
      </w:r>
      <w:r>
        <w:rPr>
          <w:b/>
          <w:bCs/>
          <w:color w:val="ff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284" w:right="567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extBookC">
    <w:panose1 w:val="02000603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en-US" w:bidi="ar-SA"/>
    </w:rPr>
  </w:style>
  <w:style w:type="character" w:styleId="815">
    <w:name w:val="Основной шрифт абзаца, Знак Знак Знак Знак Знак Знак1 Знак Знак Знак Знак Знак Знак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table" w:styleId="818">
    <w:name w:val="Сетка таблицы"/>
    <w:basedOn w:val="816"/>
    <w:next w:val="818"/>
    <w:link w:val="814"/>
    <w:tblPr/>
  </w:style>
  <w:style w:type="paragraph" w:styleId="819">
    <w:name w:val="Обычный (веб)"/>
    <w:basedOn w:val="814"/>
    <w:next w:val="819"/>
    <w:link w:val="814"/>
    <w:pPr>
      <w:spacing w:before="100" w:beforeAutospacing="1" w:after="100" w:afterAutospacing="1"/>
    </w:pPr>
    <w:rPr>
      <w:lang w:eastAsia="ru-RU"/>
    </w:rPr>
  </w:style>
  <w:style w:type="paragraph" w:styleId="820">
    <w:name w:val=" Знак Знак Знак Знак Знак Знак1 Знак Знак Знак Знак"/>
    <w:basedOn w:val="814"/>
    <w:next w:val="820"/>
    <w:link w:val="814"/>
    <w:rPr>
      <w:rFonts w:ascii="Verdana" w:hAnsi="Verdana" w:cs="Verdana"/>
      <w:sz w:val="20"/>
      <w:szCs w:val="20"/>
      <w:lang w:val="en-US"/>
    </w:rPr>
  </w:style>
  <w:style w:type="paragraph" w:styleId="821">
    <w:name w:val="Текст выноски"/>
    <w:basedOn w:val="814"/>
    <w:next w:val="821"/>
    <w:link w:val="814"/>
    <w:semiHidden/>
    <w:rPr>
      <w:rFonts w:ascii="Tahoma" w:hAnsi="Tahoma" w:cs="Tahoma"/>
      <w:sz w:val="16"/>
      <w:szCs w:val="16"/>
    </w:rPr>
  </w:style>
  <w:style w:type="paragraph" w:styleId="822">
    <w:name w:val="&lt;0442&gt;&lt;0435&gt;&lt;043A&gt;&lt;0441&gt;&lt;0442&gt;"/>
    <w:basedOn w:val="814"/>
    <w:next w:val="822"/>
    <w:link w:val="814"/>
    <w:pPr>
      <w:ind w:firstLine="227"/>
      <w:jc w:val="both"/>
      <w:spacing w:line="220" w:lineRule="atLeast"/>
    </w:pPr>
    <w:rPr>
      <w:rFonts w:ascii="TextBookC" w:hAnsi="TextBookC" w:cs="TextBookC"/>
      <w:color w:val="000000"/>
      <w:sz w:val="16"/>
      <w:szCs w:val="16"/>
      <w:lang w:eastAsia="ru-RU"/>
    </w:rPr>
  </w:style>
  <w:style w:type="paragraph" w:styleId="823">
    <w:name w:val=" Знак Знак Знак"/>
    <w:basedOn w:val="814"/>
    <w:next w:val="823"/>
    <w:link w:val="815"/>
    <w:rPr>
      <w:rFonts w:ascii="Verdana" w:hAnsi="Verdana" w:cs="Verdana"/>
      <w:sz w:val="20"/>
      <w:szCs w:val="20"/>
      <w:lang w:val="en-US"/>
    </w:rPr>
  </w:style>
  <w:style w:type="character" w:styleId="824" w:default="1">
    <w:name w:val="Default Paragraph Font"/>
    <w:uiPriority w:val="1"/>
    <w:semiHidden/>
    <w:unhideWhenUsed/>
  </w:style>
  <w:style w:type="numbering" w:styleId="825" w:default="1">
    <w:name w:val="No List"/>
    <w:uiPriority w:val="99"/>
    <w:semiHidden/>
    <w:unhideWhenUsed/>
  </w:style>
  <w:style w:type="table" w:styleId="8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internet.garant.ru/#/document/70552688/entry/10" TargetMode="External"/><Relationship Id="rId10" Type="http://schemas.openxmlformats.org/officeDocument/2006/relationships/hyperlink" Target="https://internet.garant.ru/#/document/12113020/entry/105" TargetMode="External"/><Relationship Id="rId11" Type="http://schemas.openxmlformats.org/officeDocument/2006/relationships/hyperlink" Target="https://internet.garant.ru/#/document/5759555/entry/0" TargetMode="External"/><Relationship Id="rId12" Type="http://schemas.openxmlformats.org/officeDocument/2006/relationships/hyperlink" Target="https://internet.garant.ru/#/document/12116455/entry/10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GUSZN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creator>100-ssk</dc:creator>
  <cp:revision>4</cp:revision>
  <dcterms:created xsi:type="dcterms:W3CDTF">2013-02-01T06:29:00Z</dcterms:created>
  <dcterms:modified xsi:type="dcterms:W3CDTF">2025-11-24T06:23:56Z</dcterms:modified>
  <cp:version>917504</cp:version>
</cp:coreProperties>
</file>