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eastAsiaTheme="minorHAnsi"/>
          <w:sz w:val="40"/>
          <w:szCs w:val="40"/>
          <w:highlight w:val="none"/>
          <w:lang w:eastAsia="en-US"/>
        </w:rPr>
      </w:pPr>
      <w:r>
        <w:rPr>
          <w:rFonts w:eastAsiaTheme="minorHAnsi"/>
          <w:sz w:val="40"/>
          <w:szCs w:val="40"/>
          <w:highlight w:val="none"/>
          <w:lang w:eastAsia="en-US"/>
        </w:rPr>
      </w:r>
      <w:r>
        <w:rPr>
          <w:rFonts w:eastAsiaTheme="minorHAnsi"/>
          <w:sz w:val="40"/>
          <w:szCs w:val="40"/>
          <w:highlight w:val="none"/>
          <w:lang w:eastAsia="en-US"/>
        </w:rPr>
      </w:r>
      <w:r/>
    </w:p>
    <w:p>
      <w:pPr>
        <w:jc w:val="center"/>
        <w:spacing w:after="200" w:line="276" w:lineRule="auto"/>
        <w:rPr>
          <w:rFonts w:eastAsiaTheme="minorHAnsi"/>
          <w:sz w:val="40"/>
          <w:szCs w:val="40"/>
          <w:highlight w:val="none"/>
          <w:lang w:eastAsia="en-US"/>
        </w:rPr>
      </w:pPr>
      <w:r/>
      <w:bookmarkStart w:id="0" w:name="_GoBack"/>
      <w:r/>
      <w:bookmarkEnd w:id="0"/>
      <w:r>
        <w:rPr>
          <w:rFonts w:eastAsiaTheme="minorHAnsi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0</wp:posOffset>
                </wp:positionV>
                <wp:extent cx="1440180" cy="1478280"/>
                <wp:effectExtent l="0" t="0" r="7620" b="7620"/>
                <wp:wrapTight wrapText="bothSides">
                  <wp:wrapPolygon edited="1">
                    <wp:start x="0" y="0"/>
                    <wp:lineTo x="0" y="21433"/>
                    <wp:lineTo x="21429" y="21433"/>
                    <wp:lineTo x="21429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0180" cy="1478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70.2pt;mso-position-horizontal:absolute;mso-position-vertical-relative:text;margin-top:0.0pt;mso-position-vertical:absolute;width:113.4pt;height:116.4pt;mso-wrap-distance-left:9.0pt;mso-wrap-distance-top:0.0pt;mso-wrap-distance-right:9.0pt;mso-wrap-distance-bottom:0.0pt;" wrapcoords="0 0 0 99227 99208 99227 99208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eastAsiaTheme="minorHAnsi"/>
          <w:sz w:val="40"/>
          <w:szCs w:val="40"/>
          <w:lang w:eastAsia="en-US"/>
        </w:rPr>
        <w:t xml:space="preserve">Областной конкурс </w:t>
      </w:r>
      <w:r>
        <w:rPr>
          <w:rFonts w:eastAsiaTheme="minorHAnsi"/>
          <w:sz w:val="40"/>
          <w:szCs w:val="40"/>
          <w:lang w:eastAsia="en-US"/>
        </w:rPr>
        <w:t xml:space="preserve"> по предоставлению автотранспорта (микроавтобуса) </w:t>
      </w:r>
      <w:r/>
    </w:p>
    <w:p>
      <w:pPr>
        <w:jc w:val="center"/>
        <w:spacing w:after="200" w:line="276" w:lineRule="auto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</w:r>
      <w:r>
        <w:rPr>
          <w:sz w:val="18"/>
          <w:szCs w:val="18"/>
          <w:lang w:val="ru-RU" w:bidi="ru-RU"/>
        </w:rPr>
        <w:t xml:space="preserve">Приказ Министерства социального развития, опеки и попечительства Иркутской области от 21 декабря 2015 г. N 181-МПР </w:t>
      </w:r>
      <w:r>
        <w:t xml:space="preserve">"Об утверждении Положения о порядке проведения конкурса по  предоставлению автотранспорта (микроавтобуса) семьям, имеющим семь и  более детей"</w:t>
      </w:r>
      <w:r>
        <w:rPr>
          <w:sz w:val="18"/>
          <w:szCs w:val="18"/>
          <w:lang w:val="ru-RU" w:bidi="ru-RU"/>
        </w:rPr>
      </w:r>
      <w:r/>
    </w:p>
    <w:tbl>
      <w:tblPr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222"/>
      </w:tblGrid>
      <w:tr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Категория граждан, имеющих право </w:t>
            </w:r>
            <w:r>
              <w:rPr>
                <w:sz w:val="20"/>
                <w:szCs w:val="20"/>
              </w:rPr>
              <w:t xml:space="preserve">на участие в конкурсе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В конкурсе принимают участие семьи, соответствующие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на 1 февраля текущего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 следующим требованиям:</w:t>
            </w:r>
            <w:r>
              <w:rPr>
                <w:i w:val="0"/>
                <w:iCs w:val="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1) все члены семьи являются гражданами Российской Федерации и проживают на территории Иркутской области не менее 10 лет, за исключением несовершеннолетних детей младше 10 лет;</w:t>
            </w:r>
            <w:r>
              <w:rPr>
                <w:i w:val="0"/>
                <w:iCs w:val="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2) дети, входящие в состав семьи, включая усыновленных, удочеренных, детей, принятых под опеку (попечительство), переданных на воспитание в приемную семью, не достигшие возраста 18 лет.</w:t>
            </w:r>
            <w:r>
              <w:rPr>
                <w:i w:val="0"/>
                <w:iCs w:val="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868"/>
        </w:trPr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Куда обращаться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0 ч. до 13.00 ч. </w:t>
            </w:r>
            <w:r/>
          </w:p>
        </w:tc>
      </w:tr>
      <w:tr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Документы для участия в конкурсе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об участии в конкурсе (в формате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pdf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u w:val="single"/>
              </w:rPr>
              <w:t xml:space="preserve">Документы к заявлению: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 паспорт либо иной документ, удостоверяющий личность законного представителя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семью) - для детей,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принятых под опеку (попечительство)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переданных на воспитание в приемную семью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lang w:val="en-US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lang w:val="en-US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3) свидетельства о рождении детей, паспорта детей, достигших возраста 14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3.1) свидетельство о браке - для законных представителей, состоящих в браке с лицами, не являющимися родителями детей (мачеха, отчим)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4) документ, подтверждающий совместное проживание законного представителя с детьми (в том числе документ, содержащий сведения о лицах, зарегистрированных по месту жительства (пребывания) в жилом помещении совместно с законным представителем)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образовательным дисциплинам, а также подтверждающие наличие присвоенных спортивных разрядов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(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документы, содержащие сведения об участии ребенка (детей) в общественной жизни образовательной организации по месту учебы (справки, характеристики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документы, содержащие сведения об участии законных представителей в различных формах общественной, спортивной, культурной, творческой жизни Иркутской области, муниципальных образований Иркутской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материалы, подтверждающие вклад законных представителей в воспитание и развитие детей, укрепление семейных традиций (характеристики образовательных организаций, благодарственные письма, грамоты, дипломы, свидетельства, фото- и видеоматериалы)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 и приложением описи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Misrosoft word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материалы, подтверждающие общественное признание (статьи, публикации, видеосюжеты, фотоальбомы, рекомендательные письма общественных организаций, органов местного самоуправления)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сведения об истории семьи (с указанием традиций в семье, национальных традиций, увлечений родителей и детей, иных сведений) и «семейное древо»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в виде презентации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Microsoft PowerPoint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не более 20 слайдов) и (или) видеоролика, продолжительностью не более 5-ти минут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10 - 15 фотографий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виде презентации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Microsoft PowerPoint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не более 20 слайдов)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и (или) видеоролик, продолжительностью не более 5-ти минут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, содержащие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информацию о составе семьи, её достижениях , семейных ценностях и традициях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характеристика семьи, выданная органом опеки и попечительства по месту жительства (месту пребывания) семьи, содержащая в том числе информацию в произвольной форме об успешной социализации, адаптации подопечных детей в обществе после достижения ими сове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ршеннолетия (с приложением справок, дипломов и иных подтверждающих документов) - для семей, имеющих детей, принятых под опеку или попечительство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анкета семьи по форме согласно </w:t>
            </w:r>
            <w:hyperlink r:id="rId11" w:tooltip="https://internet.garant.ru/#/document/34771975/entry/999102" w:history="1">
              <w:r>
                <w:rPr>
                  <w:rStyle w:val="82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приложению 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к настоящему Положению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4 . </w:t>
            </w:r>
            <w:r>
              <w:rPr>
                <w:sz w:val="20"/>
                <w:szCs w:val="20"/>
              </w:rPr>
              <w:t xml:space="preserve">Призовой фонд 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pStyle w:val="82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2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автомобилей</w:t>
            </w:r>
            <w:r/>
          </w:p>
          <w:p>
            <w:pPr>
              <w:pStyle w:val="8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968"/>
        </w:trPr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Сроки подачи </w:t>
            </w:r>
            <w:r>
              <w:rPr>
                <w:sz w:val="20"/>
                <w:szCs w:val="20"/>
              </w:rPr>
              <w:t xml:space="preserve">заявления и </w:t>
            </w:r>
            <w:r>
              <w:rPr>
                <w:sz w:val="20"/>
                <w:szCs w:val="20"/>
              </w:rPr>
              <w:t xml:space="preserve">документов </w:t>
            </w:r>
            <w:r>
              <w:rPr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в срок </w:t>
            </w:r>
            <w:r>
              <w:rPr>
                <w:b/>
                <w:bCs/>
              </w:rPr>
              <w:t xml:space="preserve">не позднее 1 февраля текущего год</w:t>
            </w:r>
            <w:r>
              <w:rPr>
                <w:b/>
                <w:bCs/>
              </w:rPr>
              <w:t xml:space="preserve">а</w:t>
            </w:r>
            <w:r>
              <w:t xml:space="preserve"> на адрес электронной почты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highlight w:val="none"/>
              </w:rPr>
            </w:r>
            <w:r>
              <w:t xml:space="preserve"> </w:t>
            </w:r>
            <w:r>
              <w:rPr>
                <w:b/>
                <w:bCs/>
              </w:rPr>
              <w:t xml:space="preserve">chunskiy@sobes.admirk.ru</w:t>
            </w:r>
            <w:r>
              <w:rPr>
                <w:b/>
                <w:bCs/>
                <w:highlight w:val="none"/>
              </w:rPr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internet.garant.ru/#/document/34771975/entry/9991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23</cp:revision>
  <dcterms:created xsi:type="dcterms:W3CDTF">2018-07-26T08:24:00Z</dcterms:created>
  <dcterms:modified xsi:type="dcterms:W3CDTF">2025-10-16T02:12:11Z</dcterms:modified>
</cp:coreProperties>
</file>