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6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598"/>
              <w:ind w:left="-250" w:firstLine="250"/>
              <w:spacing w:after="0" w:line="240" w:lineRule="auto"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653551" cy="1771269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653551" cy="1771269"/>
                              </a:xfrm>
                              <a:prstGeom prst="rect">
                                <a:avLst/>
                              </a:prstGeom>
                              <a:noFill/>
                              <a:ln w="304800">
                                <a:solidFill>
                                  <a:srgbClr val="000000"/>
                                </a:solidFill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08.9pt;height:139.5pt;mso-wrap-distance-left:0.0pt;mso-wrap-distance-top:0.0pt;mso-wrap-distance-right:0.0pt;mso-wrap-distance-bottom:0.0pt;" strokecolor="#000000" strokeweight="24.00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59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287f13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287f13"/>
                <w:sz w:val="28"/>
                <w:szCs w:val="28"/>
                <w:lang w:eastAsia="ru-RU"/>
              </w:rPr>
            </w:r>
            <w:r/>
          </w:p>
          <w:p>
            <w:pPr>
              <w:pStyle w:val="598"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color w:val="4f6228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color w:val="4f6228"/>
                <w:sz w:val="28"/>
                <w:szCs w:val="28"/>
                <w:lang w:eastAsia="ru-RU"/>
              </w:rPr>
              <w:t xml:space="preserve">ПАМЯТКА </w:t>
            </w:r>
            <w:r/>
          </w:p>
          <w:p>
            <w:pPr>
              <w:pStyle w:val="598"/>
              <w:jc w:val="center"/>
              <w:spacing w:after="0" w:line="240" w:lineRule="auto"/>
              <w:rPr>
                <w:rFonts w:ascii="Times New Roman" w:hAnsi="Times New Roman" w:eastAsia="Times New Roman"/>
                <w:color w:val="4a442a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/>
                <w:color w:val="4a442a"/>
                <w:sz w:val="16"/>
                <w:szCs w:val="16"/>
                <w:lang w:eastAsia="ru-RU"/>
              </w:rPr>
            </w:r>
            <w:r/>
          </w:p>
          <w:p>
            <w:pPr>
              <w:pStyle w:val="606"/>
              <w:jc w:val="center"/>
              <w:rPr>
                <w:b/>
                <w:color w:val="984806"/>
                <w:sz w:val="28"/>
                <w:szCs w:val="28"/>
              </w:rPr>
            </w:pPr>
            <w:r>
              <w:rPr>
                <w:b/>
                <w:color w:val="984806"/>
                <w:sz w:val="28"/>
                <w:szCs w:val="28"/>
              </w:rPr>
              <w:t xml:space="preserve">о возмещении расходов гражданам, взявшим на себя обязанность осуществить погребение умершего реабилитированного лица</w:t>
            </w:r>
            <w:r/>
          </w:p>
          <w:p>
            <w:pPr>
              <w:pStyle w:val="598"/>
              <w:jc w:val="center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598"/>
        <w:jc w:val="center"/>
        <w:spacing w:before="240" w:after="0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ПОСТАНОВЛЕНИЕ ПРАВИТЕЛЬСТВА ИРКУТСКОЙ ОБЛАСТИ </w:t>
      </w:r>
      <w:r>
        <w:rPr>
          <w:rFonts w:ascii="Times New Roman" w:hAnsi="Times New Roman"/>
          <w:b/>
          <w:color w:val="c00000"/>
          <w:sz w:val="24"/>
          <w:szCs w:val="24"/>
        </w:rPr>
      </w:r>
      <w:r/>
    </w:p>
    <w:p>
      <w:pPr>
        <w:pStyle w:val="598"/>
        <w:jc w:val="center"/>
        <w:spacing w:after="0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«О ПОРЯДКЕ ВОЗМЕЩЕНИЯ РАСХОДОВ ГРАЖДАНАМ, ВЗЯВШИМ НА СЕБЯ ОБЯЗАННОСТЬ ОСУЩЕСТВИТЬ ПОГРЕБЕНИЕ УМЕРШЕГО РЕАБИЛИТИРОВАННОГО ЛИЦА»</w:t>
      </w:r>
      <w:r/>
    </w:p>
    <w:p>
      <w:pPr>
        <w:pStyle w:val="598"/>
        <w:jc w:val="center"/>
        <w:spacing w:after="120"/>
        <w:rPr>
          <w:b/>
          <w:color w:val="c00000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от 19 мая 2009 г. 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№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148-пп</w:t>
      </w:r>
      <w:r>
        <w:rPr>
          <w:b/>
          <w:color w:val="c00000"/>
        </w:rPr>
      </w:r>
      <w:r/>
    </w:p>
    <w:tbl>
      <w:tblPr>
        <w:tblW w:w="10348" w:type="dxa"/>
        <w:tblInd w:w="-601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269"/>
        <w:gridCol w:w="8079"/>
      </w:tblGrid>
      <w:tr>
        <w:trPr/>
        <w:tc>
          <w:tcPr>
            <w:shd w:val="clear" w:color="auto" w:fill="fde9d9"/>
            <w:tcW w:w="2269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1. Категории граждан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, получающих данную выплату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firstLine="459"/>
              <w:jc w:val="both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984806"/>
                <w:sz w:val="24"/>
                <w:szCs w:val="24"/>
              </w:rPr>
              <w:t xml:space="preserve">Граждане, взявшие на себя обязанность осуществить погребение умершего реабилитированного лица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984806"/>
                <w:sz w:val="24"/>
                <w:szCs w:val="24"/>
              </w:rPr>
              <w:t xml:space="preserve">(далее - заявитель).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shd w:val="clear" w:color="auto" w:fill="fde9d9"/>
            <w:tcW w:w="2269" w:type="dxa"/>
            <w:vAlign w:val="top"/>
            <w:textDirection w:val="lrTb"/>
            <w:noWrap w:val="false"/>
          </w:tcPr>
          <w:p>
            <w:pPr>
              <w:pStyle w:val="598"/>
              <w:rPr>
                <w:rFonts w:ascii="Times New Roman" w:hAnsi="Times New Roman"/>
                <w:color w:val="984806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С</w:t>
            </w:r>
            <w:r>
              <w:rPr>
                <w:rFonts w:ascii="Times New Roman" w:hAnsi="Times New Roman"/>
                <w:color w:val="984806"/>
                <w:sz w:val="24"/>
                <w:szCs w:val="24"/>
              </w:rPr>
              <w:t xml:space="preserve">оциальная выплата</w:t>
            </w:r>
            <w:r>
              <w:rPr>
                <w:rFonts w:ascii="Times New Roman" w:hAnsi="Times New Roman"/>
                <w:color w:val="984806"/>
                <w:sz w:val="28"/>
                <w:szCs w:val="28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984806"/>
                <w:sz w:val="24"/>
                <w:szCs w:val="24"/>
              </w:rPr>
              <w:t xml:space="preserve">Возмещение расходов гражданам, взявшим на себя обязанность осуществить погребение умершего реабилитированного лица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269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3. Куда обращаться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firstLine="459"/>
              <w:jc w:val="both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В управление социальной защиты населения по месту жительства 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умершего реабилитированного лица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r>
            <w:r/>
          </w:p>
          <w:p>
            <w:pPr>
              <w:pStyle w:val="598"/>
              <w:ind w:firstLine="612"/>
              <w:jc w:val="both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269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4. Ритуальные услуги, подлежащие возмещению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1) оформление документов, необходимых для погребения;</w:t>
            </w:r>
            <w:r/>
          </w:p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2) предоставление и доставка гроба и других предметов, необходимых для погребения;</w:t>
            </w:r>
            <w:r/>
          </w:p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3) перевозка тела (останков) умершего реабилитированного лица на кладбище (в крематорий);</w:t>
            </w:r>
            <w:r/>
          </w:p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4) погребение (кремация с последующей выдачей урны с прахом).</w:t>
            </w:r>
            <w:r/>
          </w:p>
          <w:p>
            <w:pPr>
              <w:pStyle w:val="598"/>
              <w:ind w:firstLine="612"/>
              <w:jc w:val="both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outlineLvl w:val="1"/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269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. Документы, предоставляемые заявителем 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/>
                <w:color w:val="984806"/>
                <w:sz w:val="24"/>
                <w:szCs w:val="24"/>
              </w:rPr>
              <w:t xml:space="preserve">представителем заявителя)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598"/>
              <w:ind w:firstLine="540"/>
              <w:jc w:val="both"/>
              <w:spacing w:after="0" w:line="240" w:lineRule="auto"/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К заявлению прилагаются следующие документы:</w:t>
            </w:r>
            <w:r/>
          </w:p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1) паспорт заявителя или иной документ, удостоверяющий личность;</w:t>
            </w:r>
            <w:r/>
          </w:p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2) документ, удостоверяющий личность и подтверждающий полномочия представителя заявителя, - в случае обращения с </w:t>
            </w:r>
            <w:r>
              <w:rPr>
                <w:color w:val="984806"/>
              </w:rPr>
              <w:fldChar w:fldCharType="begin"/>
            </w:r>
            <w:r>
              <w:rPr>
                <w:color w:val="984806"/>
              </w:rPr>
              <w:instrText xml:space="preserve"> HYPERLINK "consultantplus://offline/ref=9030115E46EF045ABA14FF04ED7A1C077B7F1F23660207EDC8C151412E61C7305154520132201F3A77B8B9B3x571C" </w:instrText>
            </w:r>
            <w:r>
              <w:rPr>
                <w:color w:val="984806"/>
              </w:rPr>
              <w:fldChar w:fldCharType="separate"/>
            </w:r>
            <w:r>
              <w:rPr>
                <w:color w:val="984806"/>
              </w:rPr>
              <w:t xml:space="preserve">заявлением</w:t>
            </w:r>
            <w:r>
              <w:rPr>
                <w:color w:val="984806"/>
              </w:rPr>
              <w:fldChar w:fldCharType="end"/>
            </w:r>
            <w:r>
              <w:rPr>
                <w:color w:val="984806"/>
              </w:rPr>
              <w:t xml:space="preserve"> представителя;</w:t>
            </w:r>
            <w:r/>
          </w:p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3) свидетельство о смерти либо справка о смерти, выданная органом записи актов гражданского состояния;</w:t>
            </w:r>
            <w:r/>
          </w:p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4) платежные документы, подтверждающие факт и размер произведенных расходов ритуальных услуг;</w:t>
            </w:r>
            <w:r/>
          </w:p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5) документы умершего реабилитированного лица, подтверждающие право на меры социальной поддержки реабилитированных лиц.</w:t>
            </w:r>
            <w:r/>
          </w:p>
          <w:p>
            <w:pPr>
              <w:pStyle w:val="598"/>
              <w:ind w:firstLine="540"/>
              <w:jc w:val="both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r>
            <w:r/>
          </w:p>
        </w:tc>
      </w:tr>
      <w:tr>
        <w:trPr>
          <w:trHeight w:val="508"/>
        </w:trPr>
        <w:tc>
          <w:tcPr>
            <w:shd w:val="clear" w:color="auto" w:fill="fde9d9"/>
            <w:tcW w:w="2269" w:type="dxa"/>
            <w:vAlign w:val="top"/>
            <w:textDirection w:val="lrTb"/>
            <w:noWrap w:val="false"/>
          </w:tcPr>
          <w:p>
            <w:pPr>
              <w:pStyle w:val="598"/>
              <w:spacing w:after="0" w:line="240" w:lineRule="auto"/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color w:val="984806"/>
                <w:sz w:val="24"/>
                <w:szCs w:val="24"/>
                <w:lang w:eastAsia="ru-RU"/>
              </w:rPr>
              <w:t xml:space="preserve">. Условия</w:t>
            </w:r>
            <w:r/>
          </w:p>
        </w:tc>
        <w:tc>
          <w:tcPr>
            <w:shd w:val="clear" w:color="auto" w:fill="fde9d9"/>
            <w:tcW w:w="8079" w:type="dxa"/>
            <w:vAlign w:val="top"/>
            <w:textDirection w:val="lrTb"/>
            <w:noWrap w:val="false"/>
          </w:tcPr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Возмещение расходов гражданам, взявшим на себя обязанность осуществить погребение умершего реабилитированного лица, производится, если обращение за ним последовало не позднее шести месяцев со дня смерти умершего реабилитированного лица.</w:t>
            </w:r>
            <w:r/>
          </w:p>
          <w:p>
            <w:pPr>
              <w:pStyle w:val="606"/>
              <w:ind w:firstLine="540"/>
              <w:jc w:val="both"/>
              <w:rPr>
                <w:color w:val="984806"/>
              </w:rPr>
            </w:pPr>
            <w:r>
              <w:rPr>
                <w:color w:val="984806"/>
              </w:rPr>
              <w:t xml:space="preserve">Возмещение расходов осуществляется за вычетом выплачиваемого в соответствии с законодательством социального пособия на погребение.</w:t>
            </w:r>
            <w:r>
              <w:rPr>
                <w:color w:val="984806"/>
              </w:rPr>
            </w:r>
            <w:r/>
          </w:p>
        </w:tc>
      </w:tr>
    </w:tbl>
    <w:sectPr>
      <w:footnotePr/>
      <w:endnotePr/>
      <w:type w:val="nextPage"/>
      <w:pgSz w:w="11906" w:h="16838" w:orient="portrait"/>
      <w:pgMar w:top="709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8"/>
    <w:next w:val="598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8"/>
    <w:next w:val="598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8"/>
    <w:next w:val="59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598"/>
    <w:next w:val="598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8"/>
    <w:next w:val="598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8"/>
    <w:next w:val="59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8"/>
    <w:next w:val="59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next w:val="598"/>
    <w:link w:val="598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599">
    <w:name w:val="Основной шрифт абзаца"/>
    <w:next w:val="599"/>
    <w:link w:val="598"/>
    <w:uiPriority w:val="1"/>
    <w:semiHidden/>
    <w:unhideWhenUsed/>
  </w:style>
  <w:style w:type="table" w:styleId="600">
    <w:name w:val="Обычная таблица"/>
    <w:next w:val="600"/>
    <w:link w:val="598"/>
    <w:uiPriority w:val="99"/>
    <w:semiHidden/>
    <w:unhideWhenUsed/>
    <w:tblPr/>
  </w:style>
  <w:style w:type="numbering" w:styleId="601">
    <w:name w:val="Нет списка"/>
    <w:next w:val="601"/>
    <w:link w:val="598"/>
    <w:uiPriority w:val="99"/>
    <w:semiHidden/>
    <w:unhideWhenUsed/>
  </w:style>
  <w:style w:type="paragraph" w:styleId="602">
    <w:name w:val="Текст выноски"/>
    <w:basedOn w:val="598"/>
    <w:next w:val="602"/>
    <w:link w:val="60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03">
    <w:name w:val="Текст выноски Знак"/>
    <w:next w:val="603"/>
    <w:link w:val="602"/>
    <w:uiPriority w:val="99"/>
    <w:semiHidden/>
    <w:rPr>
      <w:rFonts w:ascii="Tahoma" w:hAnsi="Tahoma" w:cs="Tahoma"/>
      <w:sz w:val="16"/>
      <w:szCs w:val="16"/>
    </w:rPr>
  </w:style>
  <w:style w:type="table" w:styleId="604">
    <w:name w:val="Сетка таблицы"/>
    <w:basedOn w:val="600"/>
    <w:next w:val="604"/>
    <w:link w:val="598"/>
    <w:uiPriority w:val="59"/>
    <w:pPr>
      <w:spacing w:after="0" w:line="240" w:lineRule="auto"/>
    </w:pPr>
    <w:tblPr/>
  </w:style>
  <w:style w:type="paragraph" w:styleId="605">
    <w:name w:val="Знак Знак Знак Знак Знак Знак"/>
    <w:basedOn w:val="598"/>
    <w:next w:val="605"/>
    <w:link w:val="598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606">
    <w:name w:val="ConsPlusNormal"/>
    <w:next w:val="606"/>
    <w:link w:val="598"/>
    <w:rPr>
      <w:rFonts w:ascii="Times New Roman" w:hAnsi="Times New Roman"/>
      <w:sz w:val="24"/>
      <w:szCs w:val="24"/>
      <w:lang w:val="ru-RU" w:eastAsia="en-US" w:bidi="ar-SA"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Будаговская Надежда Васильевна</dc:creator>
  <cp:revision>3</cp:revision>
  <dcterms:created xsi:type="dcterms:W3CDTF">2019-10-11T02:47:00Z</dcterms:created>
  <dcterms:modified xsi:type="dcterms:W3CDTF">2025-02-11T06:26:18Z</dcterms:modified>
  <cp:version>983040</cp:version>
</cp:coreProperties>
</file>