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359" w:type="dxa"/>
        <w:tblInd w:w="-612" w:type="dxa"/>
        <w:tblLayout w:type="autofit"/>
        <w:tblCellMar>
          <w:left w:w="108" w:type="dxa"/>
          <w:top w:w="0" w:type="dxa"/>
          <w:right w:w="108" w:type="dxa"/>
          <w:bottom w:w="0" w:type="dxa"/>
        </w:tblCellMar>
        <w:tblLook w:val="01E0" w:firstRow="1" w:lastRow="1" w:firstColumn="1" w:lastColumn="1" w:noHBand="0" w:noVBand="0"/>
      </w:tblPr>
      <w:tblGrid>
        <w:gridCol w:w="4264"/>
        <w:gridCol w:w="6095"/>
      </w:tblGrid>
      <w:tr>
        <w:trPr>
          <w:trHeight w:val="2516"/>
        </w:trPr>
        <w:tc>
          <w:tcPr>
            <w:tcW w:w="4264" w:type="dxa"/>
            <w:vAlign w:val="top"/>
            <w:textDirection w:val="lrTb"/>
            <w:noWrap w:val="false"/>
          </w:tcPr>
          <w:p>
            <w:pPr>
              <w:pStyle w:val="598"/>
              <w:ind w:left="-900" w:firstLine="900"/>
              <w:jc w:val="center"/>
              <w:rPr>
                <w:color w:val="008000"/>
                <w:sz w:val="28"/>
                <w:szCs w:val="28"/>
              </w:rPr>
            </w:pPr>
            <w:r>
              <w:rPr>
                <w:color w:val="008000"/>
                <w:sz w:val="28"/>
                <w:szCs w:val="28"/>
                <w:lang w:eastAsia="ru-RU"/>
              </w:rPr>
              <mc:AlternateContent>
                <mc:Choice Requires="wpg">
                  <w:drawing>
                    <wp:inline xmlns:wp="http://schemas.openxmlformats.org/drawingml/2006/wordprocessingDrawing" distT="0" distB="0" distL="0" distR="0">
                      <wp:extent cx="2755900" cy="174354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
                              <a:stretch/>
                            </pic:blipFill>
                            <pic:spPr bwMode="auto">
                              <a:xfrm>
                                <a:off x="0" y="0"/>
                                <a:ext cx="2755900" cy="17435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17.0pt;height:137.3pt;mso-wrap-distance-left:0.0pt;mso-wrap-distance-top:0.0pt;mso-wrap-distance-right:0.0pt;mso-wrap-distance-bottom:0.0pt;" stroked="f">
                      <v:path textboxrect="0,0,0,0"/>
                      <v:imagedata r:id="rId8" o:title=""/>
                    </v:shape>
                  </w:pict>
                </mc:Fallback>
              </mc:AlternateContent>
            </w:r>
            <w:r>
              <w:rPr>
                <w:color w:val="008000"/>
                <w:sz w:val="28"/>
                <w:szCs w:val="28"/>
              </w:rPr>
            </w:r>
            <w:r/>
          </w:p>
        </w:tc>
        <w:tc>
          <w:tcPr>
            <w:tcBorders>
              <w:left w:val="none" w:color="000000" w:sz="4" w:space="0"/>
            </w:tcBorders>
            <w:tcW w:w="6095" w:type="dxa"/>
            <w:vAlign w:val="top"/>
            <w:textDirection w:val="lrTb"/>
            <w:noWrap w:val="false"/>
          </w:tcPr>
          <w:p>
            <w:pPr>
              <w:pStyle w:val="598"/>
              <w:jc w:val="center"/>
              <w:rPr>
                <w:b/>
                <w:color w:val="800000"/>
                <w:sz w:val="28"/>
                <w:szCs w:val="28"/>
              </w:rPr>
            </w:pPr>
            <w:r>
              <w:rPr>
                <w:b/>
                <w:color w:val="800000"/>
                <w:sz w:val="28"/>
                <w:szCs w:val="28"/>
              </w:rPr>
            </w:r>
            <w:r/>
          </w:p>
          <w:p>
            <w:pPr>
              <w:pStyle w:val="598"/>
              <w:jc w:val="center"/>
              <w:rPr>
                <w:b/>
                <w:color w:val="c00000"/>
                <w:sz w:val="28"/>
                <w:szCs w:val="28"/>
              </w:rPr>
            </w:pPr>
            <w:r>
              <w:rPr>
                <w:b/>
                <w:color w:val="c00000"/>
                <w:sz w:val="28"/>
                <w:szCs w:val="28"/>
              </w:rPr>
              <w:t xml:space="preserve">ПАМЯТКА </w:t>
            </w:r>
            <w:r/>
          </w:p>
          <w:p>
            <w:pPr>
              <w:pStyle w:val="598"/>
              <w:jc w:val="center"/>
              <w:spacing w:before="100" w:beforeAutospacing="1" w:after="100" w:afterAutospacing="1" w:line="240" w:lineRule="auto"/>
              <w:rPr>
                <w:rFonts w:ascii="Times New Roman" w:hAnsi="Times New Roman" w:eastAsia="Times New Roman"/>
                <w:sz w:val="26"/>
                <w:szCs w:val="26"/>
                <w:lang w:eastAsia="ru-RU"/>
              </w:rPr>
              <w:outlineLvl w:val="0"/>
            </w:pPr>
            <w:r>
              <w:rPr>
                <w:rFonts w:ascii="Times New Roman" w:hAnsi="Times New Roman" w:eastAsia="Times New Roman"/>
                <w:sz w:val="26"/>
                <w:szCs w:val="26"/>
                <w:lang w:eastAsia="ru-RU"/>
              </w:rPr>
              <w:t xml:space="preserve">О компенсации расходов по оплате за жилое помещение по договору найма жилого помещения частного жилищного фонда на территории Иркутской области</w:t>
            </w:r>
            <w:r/>
          </w:p>
          <w:p>
            <w:pPr>
              <w:pStyle w:val="598"/>
              <w:ind w:left="495"/>
              <w:jc w:val="center"/>
              <w:rPr>
                <w:b/>
                <w:color w:val="771f27"/>
              </w:rPr>
              <w:outlineLvl w:val="0"/>
            </w:pPr>
            <w:r>
              <w:rPr>
                <w:b/>
                <w:color w:val="771f27"/>
              </w:rPr>
            </w:r>
            <w:r/>
          </w:p>
        </w:tc>
      </w:tr>
    </w:tbl>
    <w:p>
      <w:pPr>
        <w:pStyle w:val="598"/>
        <w:jc w:val="center"/>
        <w:spacing w:after="100" w:afterAutospacing="1" w:line="240" w:lineRule="auto"/>
        <w:shd w:val="clear" w:color="auto" w:fill="ffffff"/>
        <w:rPr>
          <w:rFonts w:ascii="Arial" w:hAnsi="Arial" w:eastAsia="Times New Roman" w:cs="Arial"/>
          <w:color w:val="333333"/>
          <w:sz w:val="24"/>
          <w:szCs w:val="24"/>
          <w:lang w:eastAsia="ru-RU"/>
        </w:rPr>
      </w:pPr>
      <w:r>
        <w:rPr>
          <w:rFonts w:ascii="Arial" w:hAnsi="Arial" w:eastAsia="Times New Roman" w:cs="Arial"/>
          <w:color w:val="333333"/>
          <w:sz w:val="24"/>
          <w:szCs w:val="24"/>
          <w:lang w:eastAsia="ru-RU"/>
        </w:rPr>
        <w:t xml:space="preserve">Постановление Пр</w:t>
      </w:r>
      <w:r>
        <w:rPr>
          <w:rFonts w:ascii="Arial" w:hAnsi="Arial" w:eastAsia="Times New Roman" w:cs="Arial"/>
          <w:color w:val="333333"/>
          <w:sz w:val="24"/>
          <w:szCs w:val="24"/>
          <w:lang w:eastAsia="ru-RU"/>
        </w:rPr>
        <w:t xml:space="preserve">авительства Иркутской области от 14 июля 2016 года № 433-пп</w:t>
        <w:br/>
        <w:t xml:space="preserve">«О предоставлении отдельным категориям семей денежной компенсации расходов по оплате за жилое помещение по договору найма жилого помещения частного жилищного фонда на территории Иркутской области»</w:t>
      </w:r>
      <w:r/>
    </w:p>
    <w:tbl>
      <w:tblPr>
        <w:tblW w:w="10429" w:type="dxa"/>
        <w:tblInd w:w="-859"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autofit"/>
        <w:tblCellMar>
          <w:left w:w="150" w:type="dxa"/>
          <w:top w:w="150" w:type="dxa"/>
          <w:right w:w="150" w:type="dxa"/>
          <w:bottom w:w="150" w:type="dxa"/>
        </w:tblCellMar>
        <w:tblLook w:val="04A0" w:firstRow="1" w:lastRow="0" w:firstColumn="1" w:lastColumn="0" w:noHBand="0" w:noVBand="1"/>
      </w:tblPr>
      <w:tblGrid>
        <w:gridCol w:w="2969"/>
        <w:gridCol w:w="7460"/>
      </w:tblGrid>
      <w:tr>
        <w:trPr/>
        <w:tc>
          <w:tcPr>
            <w:tcBorders>
              <w:top w:val="single" w:color="000000" w:sz="6" w:space="0"/>
              <w:left w:val="single" w:color="000000" w:sz="6" w:space="0"/>
              <w:bottom w:val="single" w:color="000000" w:sz="6" w:space="0"/>
              <w:right w:val="single" w:color="000000" w:sz="6" w:space="0"/>
            </w:tcBorders>
            <w:tcW w:w="2969" w:type="dxa"/>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 Категории граждан, получающих данную компенсацию</w:t>
            </w:r>
            <w:r/>
          </w:p>
        </w:tc>
        <w:tc>
          <w:tcPr>
            <w:tcBorders>
              <w:top w:val="single" w:color="000000" w:sz="6" w:space="0"/>
              <w:left w:val="single" w:color="000000" w:sz="6" w:space="0"/>
              <w:bottom w:val="single" w:color="000000" w:sz="6" w:space="0"/>
              <w:right w:val="single" w:color="000000" w:sz="6" w:space="0"/>
            </w:tcBorders>
            <w:tcW w:w="7460" w:type="auto"/>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Семьи одиноких родителей (законных представителей), имеющие в своем составе трех и более детей, не достигших возраста 18 лет, включая усыновленных, удочеренных, принятых под опеку (попечительство), пе</w:t>
            </w:r>
            <w:r>
              <w:rPr>
                <w:rFonts w:ascii="Times New Roman" w:hAnsi="Times New Roman" w:eastAsia="Times New Roman"/>
                <w:sz w:val="24"/>
                <w:szCs w:val="24"/>
                <w:lang w:eastAsia="ru-RU"/>
              </w:rPr>
              <w:t xml:space="preserve">реданных на воспитание в приемную семью, без учета детей, находящихся на полном государственном обеспечении, среднедушевой доход которых ниже двукратной величины прожиточного минимума, установленной в целом по Иркутской области в расчете на душу населения.</w:t>
            </w:r>
            <w:r/>
          </w:p>
        </w:tc>
      </w:tr>
      <w:tr>
        <w:trPr/>
        <w:tc>
          <w:tcPr>
            <w:tcBorders>
              <w:top w:val="single" w:color="000000" w:sz="6" w:space="0"/>
              <w:left w:val="single" w:color="000000" w:sz="6" w:space="0"/>
              <w:bottom w:val="single" w:color="000000" w:sz="6" w:space="0"/>
              <w:right w:val="single" w:color="000000" w:sz="6" w:space="0"/>
            </w:tcBorders>
            <w:tcW w:w="2969" w:type="dxa"/>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 Куда обращаться</w:t>
            </w:r>
            <w:r/>
          </w:p>
        </w:tc>
        <w:tc>
          <w:tcPr>
            <w:tcBorders>
              <w:top w:val="single" w:color="000000" w:sz="6" w:space="0"/>
              <w:left w:val="single" w:color="000000" w:sz="6" w:space="0"/>
              <w:bottom w:val="single" w:color="000000" w:sz="6" w:space="0"/>
              <w:right w:val="single" w:color="000000" w:sz="6" w:space="0"/>
            </w:tcBorders>
            <w:tcW w:w="7460" w:type="auto"/>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управление социальной защиты населения по месту жительства (месту пребывания).</w:t>
            </w:r>
            <w:r/>
          </w:p>
        </w:tc>
      </w:tr>
      <w:tr>
        <w:trPr/>
        <w:tc>
          <w:tcPr>
            <w:tcBorders>
              <w:top w:val="single" w:color="000000" w:sz="6" w:space="0"/>
              <w:left w:val="single" w:color="000000" w:sz="6" w:space="0"/>
              <w:bottom w:val="single" w:color="000000" w:sz="6" w:space="0"/>
              <w:right w:val="single" w:color="000000" w:sz="6" w:space="0"/>
            </w:tcBorders>
            <w:tcW w:w="2969" w:type="dxa"/>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 Размер компенсации</w:t>
            </w:r>
            <w:r/>
          </w:p>
        </w:tc>
        <w:tc>
          <w:tcPr>
            <w:tcBorders>
              <w:top w:val="single" w:color="000000" w:sz="6" w:space="0"/>
              <w:left w:val="single" w:color="000000" w:sz="6" w:space="0"/>
              <w:bottom w:val="single" w:color="000000" w:sz="6" w:space="0"/>
              <w:right w:val="single" w:color="000000" w:sz="6" w:space="0"/>
            </w:tcBorders>
            <w:tcW w:w="7460" w:type="auto"/>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50 процентов от размера платы за жилое помещение, установленной в договоре найма жилого помещения, но не более</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6400 рублей в месяц.</w:t>
            </w:r>
            <w:r/>
          </w:p>
        </w:tc>
      </w:tr>
      <w:tr>
        <w:trPr/>
        <w:tc>
          <w:tcPr>
            <w:tcBorders>
              <w:top w:val="single" w:color="000000" w:sz="6" w:space="0"/>
              <w:left w:val="single" w:color="000000" w:sz="6" w:space="0"/>
              <w:bottom w:val="single" w:color="000000" w:sz="6" w:space="0"/>
              <w:right w:val="single" w:color="000000" w:sz="6" w:space="0"/>
            </w:tcBorders>
            <w:tcW w:w="2969" w:type="dxa"/>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 Документы, предоставляемые заявителем</w:t>
            </w:r>
            <w:r/>
          </w:p>
        </w:tc>
        <w:tc>
          <w:tcPr>
            <w:tcBorders>
              <w:top w:val="single" w:color="000000" w:sz="6" w:space="0"/>
              <w:left w:val="single" w:color="000000" w:sz="6" w:space="0"/>
              <w:bottom w:val="single" w:color="000000" w:sz="6" w:space="0"/>
              <w:right w:val="single" w:color="000000" w:sz="6" w:space="0"/>
            </w:tcBorders>
            <w:tcW w:w="7460" w:type="auto"/>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Заявление;</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 паспорт или иной документ, удостоверяющий личность гражданина;</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 документы, удостоверяющие личность и подтверждающие полномочия представителя гражданина, — в случае обращения с заявлением представителя гражданина;</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3) свидетельство (свидетельства) о рождении ребенка (детей) и (или) паспорт (паспорта) — для ребенка (детей), достигшего (достигших) возраста 14 лет;</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 решение суда об усыновлении (удочерении) ребенка (детей) — для усыновителей;</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 акт органа опеки и попечительства о назначении опекуна или попечителя — для опекунов (попечителей);</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 договор о приемной семье — для приемных родителей;</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 справка с места жительства (места пребывания) о составе семьи и о совместном проживании детей с гражданином;</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8) свидетельство о смерти </w:t>
            </w:r>
            <w:r>
              <w:rPr>
                <w:rFonts w:ascii="Times New Roman" w:hAnsi="Times New Roman" w:eastAsia="Times New Roman"/>
                <w:sz w:val="24"/>
                <w:szCs w:val="24"/>
                <w:lang w:eastAsia="ru-RU"/>
              </w:rPr>
              <w:t xml:space="preserve">одного из родителей либо справка из органов записи актов гражданского состояния о том, что в свидетельствах о рождении детей сведения об отце внесены в запись акта о рождении на основании заявления матери детей, либо свидетельство о расторжении брака, либо</w:t>
            </w:r>
            <w:r>
              <w:rPr>
                <w:rFonts w:ascii="Times New Roman" w:hAnsi="Times New Roman" w:eastAsia="Times New Roman"/>
                <w:sz w:val="24"/>
                <w:szCs w:val="24"/>
                <w:lang w:eastAsia="ru-RU"/>
              </w:rPr>
              <w:t xml:space="preserve"> копия решения суда о расторжении брака или признании брака недействительным, вступившего в законную силу;</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 документы, подтверждающие размер доходов каждого члена семьи за шесть последних календарных месяцев, предшествующих подаче заявления;</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10) договор найма жилого помещения, заключенный на срок не менее года, прошедший государственную регистрацию ограничения (обременения) права собственности на жилое помещение, возникающего на его основании, в порядке, установленном законодательством;</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 решение суда об установлен</w:t>
            </w:r>
            <w:r>
              <w:rPr>
                <w:rFonts w:ascii="Times New Roman" w:hAnsi="Times New Roman" w:eastAsia="Times New Roman"/>
                <w:sz w:val="24"/>
                <w:szCs w:val="24"/>
                <w:lang w:eastAsia="ru-RU"/>
              </w:rPr>
              <w:t xml:space="preserve">ии факта постоянного или преимущественного проживания на территории Иркутской области или свидетельство о регистрации по месту пребывания (в случае отсутствия в паспорте гражданина отметки о регистрации по месту жительства на территории Иркутской области);</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12) документ, подтверждающий, что гражданин состоит на учете в качестве нуждающегося в жилом помещении, предоставляемом по договору социального найма.</w:t>
            </w:r>
            <w:r/>
          </w:p>
        </w:tc>
      </w:tr>
      <w:tr>
        <w:trPr/>
        <w:tc>
          <w:tcPr>
            <w:tcBorders>
              <w:top w:val="single" w:color="000000" w:sz="6" w:space="0"/>
              <w:left w:val="single" w:color="000000" w:sz="6" w:space="0"/>
              <w:bottom w:val="single" w:color="000000" w:sz="6" w:space="0"/>
              <w:right w:val="single" w:color="000000" w:sz="6" w:space="0"/>
            </w:tcBorders>
            <w:tcW w:w="2969" w:type="dxa"/>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 Особые условия</w:t>
            </w:r>
            <w:r/>
          </w:p>
        </w:tc>
        <w:tc>
          <w:tcPr>
            <w:tcBorders>
              <w:top w:val="single" w:color="000000" w:sz="6" w:space="0"/>
              <w:left w:val="single" w:color="000000" w:sz="6" w:space="0"/>
              <w:bottom w:val="single" w:color="000000" w:sz="6" w:space="0"/>
              <w:right w:val="single" w:color="000000" w:sz="6" w:space="0"/>
            </w:tcBorders>
            <w:tcW w:w="7460" w:type="auto"/>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целях выплаты компенсации гражданин или его представитель в срок до 10 числа текущего месяца представляет в учреждение документы, подтверждающие фа</w:t>
            </w:r>
            <w:r>
              <w:rPr>
                <w:rFonts w:ascii="Times New Roman" w:hAnsi="Times New Roman" w:eastAsia="Times New Roman"/>
                <w:sz w:val="24"/>
                <w:szCs w:val="24"/>
                <w:lang w:eastAsia="ru-RU"/>
              </w:rPr>
              <w:t xml:space="preserve">ктически произведенные расходы по оплате за жилое помещение за предыдущий (предыдущие) месяц (месяцы) по договору найма жилого помещения (кассовые чеки, бланки строгой отчетности, квитанции, платежные поручения, расписки или иные подтверждающие документы).</w:t>
            </w:r>
            <w:r/>
          </w:p>
        </w:tc>
      </w:tr>
      <w:tr>
        <w:trPr/>
        <w:tc>
          <w:tcPr>
            <w:tcBorders>
              <w:top w:val="single" w:color="000000" w:sz="6" w:space="0"/>
              <w:left w:val="single" w:color="000000" w:sz="6" w:space="0"/>
              <w:bottom w:val="single" w:color="000000" w:sz="6" w:space="0"/>
              <w:right w:val="single" w:color="000000" w:sz="6" w:space="0"/>
            </w:tcBorders>
            <w:tcW w:w="2969" w:type="dxa"/>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6. Периодичность выплаты</w:t>
            </w:r>
            <w:r/>
          </w:p>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 способ ее предоставления</w:t>
            </w:r>
            <w:r/>
          </w:p>
        </w:tc>
        <w:tc>
          <w:tcPr>
            <w:tcBorders>
              <w:top w:val="single" w:color="000000" w:sz="6" w:space="0"/>
              <w:left w:val="single" w:color="000000" w:sz="6" w:space="0"/>
              <w:bottom w:val="single" w:color="000000" w:sz="6" w:space="0"/>
              <w:right w:val="single" w:color="000000" w:sz="6" w:space="0"/>
            </w:tcBorders>
            <w:tcW w:w="7460" w:type="auto"/>
            <w:vAlign w:val="center"/>
            <w:textDirection w:val="lrTb"/>
            <w:noWrap w:val="false"/>
          </w:tcPr>
          <w:p>
            <w:pPr>
              <w:pStyle w:val="5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Компенсация выплачивается до 25 числа месяца, следующего за месяцем, в котором представлены документы, подтверждающие фактически произведенные расходы по оплате за жилое пом</w:t>
            </w:r>
            <w:r>
              <w:rPr>
                <w:rFonts w:ascii="Times New Roman" w:hAnsi="Times New Roman" w:eastAsia="Times New Roman"/>
                <w:sz w:val="24"/>
                <w:szCs w:val="24"/>
                <w:lang w:eastAsia="ru-RU"/>
              </w:rPr>
              <w:t xml:space="preserve">ещение, путем зачисления денежных средств на счет гражданина, открытый в банке или иной кредитной организации, либо путем доставки через организации федеральной почтовой связи или иные организации, осуществляющие доставку компенсации, по выбору гражданина.</w:t>
            </w:r>
            <w:r/>
          </w:p>
        </w:tc>
      </w:tr>
    </w:tbl>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598"/>
    <w:next w:val="598"/>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598"/>
    <w:next w:val="598"/>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598"/>
    <w:next w:val="598"/>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598"/>
    <w:next w:val="598"/>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598"/>
    <w:next w:val="598"/>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598"/>
    <w:next w:val="598"/>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598"/>
    <w:next w:val="59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598"/>
    <w:next w:val="59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598"/>
    <w:next w:val="59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598"/>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598"/>
    <w:next w:val="598"/>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598"/>
    <w:next w:val="598"/>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598"/>
    <w:next w:val="598"/>
    <w:link w:val="39"/>
    <w:uiPriority w:val="29"/>
    <w:qFormat/>
    <w:pPr>
      <w:ind w:left="720" w:right="720"/>
    </w:pPr>
    <w:rPr>
      <w:i/>
    </w:rPr>
  </w:style>
  <w:style w:type="character" w:styleId="39">
    <w:name w:val="Quote Char"/>
    <w:link w:val="38"/>
    <w:uiPriority w:val="29"/>
    <w:rPr>
      <w:i/>
    </w:rPr>
  </w:style>
  <w:style w:type="paragraph" w:styleId="40">
    <w:name w:val="Intense Quote"/>
    <w:basedOn w:val="598"/>
    <w:next w:val="59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598"/>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598"/>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598"/>
    <w:next w:val="598"/>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59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59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598"/>
    <w:next w:val="598"/>
    <w:uiPriority w:val="39"/>
    <w:unhideWhenUsed/>
    <w:pPr>
      <w:ind w:left="0" w:right="0" w:firstLine="0"/>
      <w:spacing w:after="57"/>
    </w:pPr>
  </w:style>
  <w:style w:type="paragraph" w:styleId="182">
    <w:name w:val="toc 2"/>
    <w:basedOn w:val="598"/>
    <w:next w:val="598"/>
    <w:uiPriority w:val="39"/>
    <w:unhideWhenUsed/>
    <w:pPr>
      <w:ind w:left="283" w:right="0" w:firstLine="0"/>
      <w:spacing w:after="57"/>
    </w:pPr>
  </w:style>
  <w:style w:type="paragraph" w:styleId="183">
    <w:name w:val="toc 3"/>
    <w:basedOn w:val="598"/>
    <w:next w:val="598"/>
    <w:uiPriority w:val="39"/>
    <w:unhideWhenUsed/>
    <w:pPr>
      <w:ind w:left="567" w:right="0" w:firstLine="0"/>
      <w:spacing w:after="57"/>
    </w:pPr>
  </w:style>
  <w:style w:type="paragraph" w:styleId="184">
    <w:name w:val="toc 4"/>
    <w:basedOn w:val="598"/>
    <w:next w:val="598"/>
    <w:uiPriority w:val="39"/>
    <w:unhideWhenUsed/>
    <w:pPr>
      <w:ind w:left="850" w:right="0" w:firstLine="0"/>
      <w:spacing w:after="57"/>
    </w:pPr>
  </w:style>
  <w:style w:type="paragraph" w:styleId="185">
    <w:name w:val="toc 5"/>
    <w:basedOn w:val="598"/>
    <w:next w:val="598"/>
    <w:uiPriority w:val="39"/>
    <w:unhideWhenUsed/>
    <w:pPr>
      <w:ind w:left="1134" w:right="0" w:firstLine="0"/>
      <w:spacing w:after="57"/>
    </w:pPr>
  </w:style>
  <w:style w:type="paragraph" w:styleId="186">
    <w:name w:val="toc 6"/>
    <w:basedOn w:val="598"/>
    <w:next w:val="598"/>
    <w:uiPriority w:val="39"/>
    <w:unhideWhenUsed/>
    <w:pPr>
      <w:ind w:left="1417" w:right="0" w:firstLine="0"/>
      <w:spacing w:after="57"/>
    </w:pPr>
  </w:style>
  <w:style w:type="paragraph" w:styleId="187">
    <w:name w:val="toc 7"/>
    <w:basedOn w:val="598"/>
    <w:next w:val="598"/>
    <w:uiPriority w:val="39"/>
    <w:unhideWhenUsed/>
    <w:pPr>
      <w:ind w:left="1701" w:right="0" w:firstLine="0"/>
      <w:spacing w:after="57"/>
    </w:pPr>
  </w:style>
  <w:style w:type="paragraph" w:styleId="188">
    <w:name w:val="toc 8"/>
    <w:basedOn w:val="598"/>
    <w:next w:val="598"/>
    <w:uiPriority w:val="39"/>
    <w:unhideWhenUsed/>
    <w:pPr>
      <w:ind w:left="1984" w:right="0" w:firstLine="0"/>
      <w:spacing w:after="57"/>
    </w:pPr>
  </w:style>
  <w:style w:type="paragraph" w:styleId="189">
    <w:name w:val="toc 9"/>
    <w:basedOn w:val="598"/>
    <w:next w:val="598"/>
    <w:uiPriority w:val="39"/>
    <w:unhideWhenUsed/>
    <w:pPr>
      <w:ind w:left="2268" w:right="0" w:firstLine="0"/>
      <w:spacing w:after="57"/>
    </w:pPr>
  </w:style>
  <w:style w:type="paragraph" w:styleId="190">
    <w:name w:val="TOC Heading"/>
    <w:uiPriority w:val="39"/>
    <w:unhideWhenUsed/>
  </w:style>
  <w:style w:type="paragraph" w:styleId="191">
    <w:name w:val="table of figures"/>
    <w:basedOn w:val="598"/>
    <w:next w:val="598"/>
    <w:uiPriority w:val="99"/>
    <w:unhideWhenUsed/>
    <w:pPr>
      <w:spacing w:after="0" w:afterAutospacing="0"/>
    </w:pPr>
  </w:style>
  <w:style w:type="paragraph" w:styleId="598" w:default="1">
    <w:name w:val="Normal"/>
    <w:next w:val="598"/>
    <w:link w:val="598"/>
    <w:qFormat/>
    <w:pPr>
      <w:spacing w:after="160" w:line="259" w:lineRule="auto"/>
    </w:pPr>
    <w:rPr>
      <w:sz w:val="22"/>
      <w:szCs w:val="22"/>
      <w:lang w:val="ru-RU" w:eastAsia="en-US" w:bidi="ar-SA"/>
    </w:rPr>
  </w:style>
  <w:style w:type="character" w:styleId="599">
    <w:name w:val="Основной шрифт абзаца"/>
    <w:next w:val="599"/>
    <w:link w:val="598"/>
    <w:uiPriority w:val="1"/>
    <w:semiHidden/>
    <w:unhideWhenUsed/>
  </w:style>
  <w:style w:type="table" w:styleId="600">
    <w:name w:val="Обычная таблица"/>
    <w:next w:val="600"/>
    <w:link w:val="598"/>
    <w:uiPriority w:val="99"/>
    <w:semiHidden/>
    <w:unhideWhenUsed/>
    <w:tblPr/>
  </w:style>
  <w:style w:type="numbering" w:styleId="601">
    <w:name w:val="Нет списка"/>
    <w:next w:val="601"/>
    <w:link w:val="598"/>
    <w:uiPriority w:val="99"/>
    <w:semiHidden/>
    <w:unhideWhenUsed/>
  </w:style>
  <w:style w:type="character" w:styleId="834" w:default="1">
    <w:name w:val="Default Paragraph Font"/>
    <w:uiPriority w:val="1"/>
    <w:semiHidden/>
    <w:unhideWhenUsed/>
  </w:style>
  <w:style w:type="numbering" w:styleId="835" w:default="1">
    <w:name w:val="No List"/>
    <w:uiPriority w:val="99"/>
    <w:semiHidden/>
    <w:unhideWhenUsed/>
  </w:style>
  <w:style w:type="table" w:styleId="83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Турдикулова Татьяна Викторовна</dc:creator>
  <cp:revision>3</cp:revision>
  <dcterms:created xsi:type="dcterms:W3CDTF">2019-10-10T07:47:00Z</dcterms:created>
  <dcterms:modified xsi:type="dcterms:W3CDTF">2025-02-11T04:52:53Z</dcterms:modified>
  <cp:version>983040</cp:version>
</cp:coreProperties>
</file>