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73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30"/>
        <w:gridCol w:w="6743"/>
      </w:tblGrid>
      <w:tr>
        <w:trPr>
          <w:trHeight w:val="2269"/>
        </w:trPr>
        <w:tc>
          <w:tcPr>
            <w:tcW w:w="3130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39468" cy="167716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39468" cy="1677162"/>
                              </a:xfrm>
                              <a:prstGeom prst="rect">
                                <a:avLst/>
                              </a:prstGeom>
                              <a:noFill/>
                              <a:ln w="152400">
                                <a:solidFill>
                                  <a:srgbClr val="00000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44.8pt;height:132.1pt;mso-wrap-distance-left:0.0pt;mso-wrap-distance-top:0.0pt;mso-wrap-distance-right:0.0pt;mso-wrap-distance-bottom:0.0pt;" strokecolor="#000000" strokeweight="12.00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743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403152"/>
                <w:sz w:val="30"/>
                <w:szCs w:val="30"/>
              </w:rPr>
            </w:pPr>
            <w:r>
              <w:rPr>
                <w:b/>
                <w:color w:val="403152"/>
                <w:sz w:val="30"/>
                <w:szCs w:val="30"/>
              </w:rPr>
              <w:t xml:space="preserve">ПАМЯТКА </w:t>
            </w:r>
            <w:r>
              <w:rPr>
                <w:b/>
                <w:color w:val="403152"/>
                <w:sz w:val="30"/>
                <w:szCs w:val="30"/>
              </w:rPr>
            </w:r>
            <w:r/>
          </w:p>
          <w:p>
            <w:pPr>
              <w:pStyle w:val="598"/>
              <w:jc w:val="center"/>
              <w:rPr>
                <w:color w:val="333300"/>
                <w:sz w:val="16"/>
                <w:szCs w:val="16"/>
              </w:rPr>
            </w:pPr>
            <w:r>
              <w:rPr>
                <w:color w:val="3333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 xml:space="preserve">Е</w:t>
            </w:r>
            <w:r>
              <w:rPr>
                <w:b/>
                <w:color w:val="632423"/>
              </w:rPr>
              <w:t xml:space="preserve">жемесячн</w:t>
            </w:r>
            <w:r>
              <w:rPr>
                <w:b/>
                <w:color w:val="632423"/>
              </w:rPr>
              <w:t xml:space="preserve">ая </w:t>
            </w:r>
            <w:r>
              <w:rPr>
                <w:b/>
                <w:color w:val="632423"/>
              </w:rPr>
              <w:t xml:space="preserve">денежн</w:t>
            </w:r>
            <w:r>
              <w:rPr>
                <w:b/>
                <w:color w:val="632423"/>
              </w:rPr>
              <w:t xml:space="preserve">ая</w:t>
            </w:r>
            <w:r>
              <w:rPr>
                <w:b/>
                <w:color w:val="632423"/>
              </w:rPr>
              <w:t xml:space="preserve"> выплат</w:t>
            </w:r>
            <w:r>
              <w:rPr>
                <w:b/>
                <w:color w:val="632423"/>
              </w:rPr>
              <w:t xml:space="preserve">а</w:t>
            </w:r>
            <w:r>
              <w:rPr>
                <w:b/>
                <w:color w:val="632423"/>
              </w:rPr>
              <w:t xml:space="preserve"> гражданам, </w:t>
            </w:r>
            <w:r>
              <w:rPr>
                <w:b/>
                <w:color w:val="632423"/>
              </w:rPr>
            </w:r>
            <w:r/>
          </w:p>
          <w:p>
            <w:pPr>
              <w:pStyle w:val="598"/>
              <w:jc w:val="center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 xml:space="preserve">осуществляющим уход за гражданином</w:t>
            </w:r>
            <w:r>
              <w:rPr>
                <w:b/>
                <w:color w:val="632423"/>
              </w:rPr>
              <w:t xml:space="preserve">,</w:t>
            </w:r>
            <w:r>
              <w:rPr>
                <w:b/>
                <w:color w:val="632423"/>
              </w:rPr>
              <w:t xml:space="preserve"> нуждающимся в социальной помощи, заключившим договор </w:t>
            </w:r>
            <w:r>
              <w:rPr>
                <w:b/>
                <w:color w:val="632423"/>
              </w:rPr>
              <w:br w:type="textWrapping" w:clear="all"/>
            </w:r>
            <w:r>
              <w:rPr>
                <w:b/>
                <w:color w:val="632423"/>
              </w:rPr>
              <w:t xml:space="preserve">о приемной семье</w:t>
            </w:r>
            <w:r/>
          </w:p>
          <w:p>
            <w:pPr>
              <w:pStyle w:val="598"/>
              <w:jc w:val="center"/>
              <w:rPr>
                <w:b/>
                <w:color w:val="800000"/>
                <w:sz w:val="22"/>
                <w:szCs w:val="22"/>
              </w:rPr>
            </w:pPr>
            <w:r>
              <w:rPr>
                <w:b/>
                <w:color w:val="800000"/>
                <w:sz w:val="22"/>
                <w:szCs w:val="22"/>
              </w:rPr>
            </w:r>
            <w:r/>
          </w:p>
        </w:tc>
      </w:tr>
    </w:tbl>
    <w:p>
      <w:pPr>
        <w:pStyle w:val="598"/>
        <w:ind w:firstLine="540"/>
        <w:jc w:val="center"/>
        <w:rPr>
          <w:b/>
          <w:i/>
          <w:color w:val="003300"/>
          <w:sz w:val="16"/>
          <w:szCs w:val="16"/>
        </w:rPr>
      </w:pPr>
      <w:r>
        <w:rPr>
          <w:b/>
          <w:i/>
          <w:color w:val="003300"/>
          <w:sz w:val="16"/>
          <w:szCs w:val="16"/>
        </w:rPr>
      </w:r>
      <w:r/>
    </w:p>
    <w:p>
      <w:pPr>
        <w:pStyle w:val="598"/>
        <w:ind w:firstLine="540"/>
        <w:jc w:val="center"/>
        <w:rPr>
          <w:b/>
          <w:i/>
          <w:color w:val="003300"/>
          <w:sz w:val="16"/>
          <w:szCs w:val="16"/>
        </w:rPr>
      </w:pPr>
      <w:r>
        <w:rPr>
          <w:b/>
          <w:i/>
          <w:color w:val="003300"/>
          <w:sz w:val="16"/>
          <w:szCs w:val="16"/>
        </w:rPr>
      </w:r>
      <w:r/>
    </w:p>
    <w:p>
      <w:pPr>
        <w:pStyle w:val="598"/>
        <w:ind w:firstLine="567"/>
        <w:jc w:val="center"/>
        <w:rPr>
          <w:b/>
          <w:i/>
          <w:color w:val="403152"/>
          <w:sz w:val="26"/>
          <w:szCs w:val="26"/>
        </w:rPr>
      </w:pPr>
      <w:r>
        <w:rPr>
          <w:b/>
          <w:i/>
          <w:color w:val="403152"/>
          <w:sz w:val="26"/>
          <w:szCs w:val="26"/>
        </w:rPr>
        <w:t xml:space="preserve">Закон Иркутской области от 01.06.2018 N 43-ОЗ </w:t>
      </w:r>
      <w:r>
        <w:rPr>
          <w:b/>
          <w:i/>
          <w:color w:val="403152"/>
          <w:sz w:val="26"/>
          <w:szCs w:val="26"/>
        </w:rPr>
      </w:r>
      <w:r/>
    </w:p>
    <w:p>
      <w:pPr>
        <w:pStyle w:val="598"/>
        <w:ind w:firstLine="567"/>
        <w:jc w:val="center"/>
        <w:rPr>
          <w:b/>
          <w:i/>
          <w:color w:val="403152"/>
          <w:sz w:val="26"/>
          <w:szCs w:val="26"/>
        </w:rPr>
      </w:pPr>
      <w:r>
        <w:rPr>
          <w:b/>
          <w:i/>
          <w:color w:val="403152"/>
          <w:sz w:val="26"/>
          <w:szCs w:val="26"/>
        </w:rPr>
        <w:t xml:space="preserve">«</w:t>
      </w:r>
      <w:r>
        <w:rPr>
          <w:b/>
          <w:i/>
          <w:color w:val="403152"/>
          <w:sz w:val="26"/>
          <w:szCs w:val="26"/>
        </w:rPr>
        <w:t xml:space="preserve">О приемной семье для граждан пожилого возраста и инвалидов </w:t>
      </w:r>
      <w:r>
        <w:rPr>
          <w:b/>
          <w:i/>
          <w:color w:val="403152"/>
          <w:sz w:val="26"/>
          <w:szCs w:val="26"/>
        </w:rPr>
        <w:br w:type="textWrapping" w:clear="all"/>
      </w:r>
      <w:r>
        <w:rPr>
          <w:b/>
          <w:i/>
          <w:color w:val="403152"/>
          <w:sz w:val="26"/>
          <w:szCs w:val="26"/>
        </w:rPr>
        <w:t xml:space="preserve">в Иркутской области</w:t>
      </w:r>
      <w:r>
        <w:rPr>
          <w:b/>
          <w:i/>
          <w:color w:val="403152"/>
          <w:sz w:val="26"/>
          <w:szCs w:val="26"/>
        </w:rPr>
        <w:t xml:space="preserve">»</w:t>
      </w:r>
      <w:r/>
    </w:p>
    <w:p>
      <w:pPr>
        <w:pStyle w:val="598"/>
        <w:ind w:firstLine="567"/>
        <w:jc w:val="center"/>
        <w:rPr>
          <w:color w:val="403152"/>
          <w:sz w:val="26"/>
          <w:szCs w:val="26"/>
        </w:rPr>
      </w:pPr>
      <w:r>
        <w:rPr>
          <w:color w:val="403152"/>
          <w:sz w:val="26"/>
          <w:szCs w:val="26"/>
        </w:rPr>
      </w:r>
      <w:r/>
    </w:p>
    <w:tbl>
      <w:tblPr>
        <w:tblW w:w="1020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94"/>
        <w:gridCol w:w="7512"/>
      </w:tblGrid>
      <w:tr>
        <w:trPr/>
        <w:tc>
          <w:tcPr>
            <w:shd w:val="clear" w:color="auto" w:fill="eaf1dd"/>
            <w:tcW w:w="2694" w:type="dxa"/>
            <w:vAlign w:val="top"/>
            <w:textDirection w:val="lrTb"/>
            <w:noWrap w:val="false"/>
          </w:tcPr>
          <w:p>
            <w:pPr>
              <w:pStyle w:val="598"/>
              <w:shd w:val="clear" w:color="auto" w:fill="eaf1dd"/>
              <w:rPr>
                <w:color w:val="632423"/>
              </w:rPr>
            </w:pPr>
            <w:r>
              <w:rPr>
                <w:color w:val="632423"/>
              </w:rPr>
              <w:t xml:space="preserve">1. Категории граждан, </w:t>
            </w:r>
            <w:r>
              <w:rPr>
                <w:color w:val="632423"/>
              </w:rPr>
              <w:t xml:space="preserve">имеющих право на выплату</w:t>
            </w:r>
            <w:r>
              <w:rPr>
                <w:color w:val="632423"/>
              </w:rPr>
            </w:r>
            <w:r/>
          </w:p>
        </w:tc>
        <w:tc>
          <w:tcPr>
            <w:shd w:val="clear" w:color="auto" w:fill="eaf1dd"/>
            <w:tcW w:w="7512" w:type="dxa"/>
            <w:vAlign w:val="top"/>
            <w:textDirection w:val="lrTb"/>
            <w:noWrap w:val="false"/>
          </w:tcPr>
          <w:p>
            <w:pPr>
              <w:pStyle w:val="598"/>
              <w:ind w:firstLine="459"/>
              <w:jc w:val="both"/>
              <w:rPr>
                <w:color w:val="632423"/>
              </w:rPr>
            </w:pPr>
            <w:r>
              <w:rPr>
                <w:color w:val="632423"/>
              </w:rPr>
              <w:t xml:space="preserve">Г</w:t>
            </w:r>
            <w:r>
              <w:rPr>
                <w:color w:val="632423"/>
              </w:rPr>
              <w:t xml:space="preserve">ражданин, осуществляющий уход за гражданином (гражданами), нуждающимся (нуждающимися) в социальной помощи, заключивший договор о приемной семье</w:t>
            </w:r>
            <w:r>
              <w:rPr>
                <w:bCs/>
                <w:color w:val="632423"/>
              </w:rPr>
              <w:t xml:space="preserve">.</w:t>
            </w:r>
            <w:r>
              <w:rPr>
                <w:color w:val="632423"/>
              </w:rPr>
            </w:r>
            <w:r/>
          </w:p>
        </w:tc>
      </w:tr>
      <w:tr>
        <w:trPr/>
        <w:tc>
          <w:tcPr>
            <w:shd w:val="clear" w:color="auto" w:fill="eaf1dd"/>
            <w:tcW w:w="2694" w:type="dxa"/>
            <w:vAlign w:val="top"/>
            <w:textDirection w:val="lrTb"/>
            <w:noWrap w:val="false"/>
          </w:tcPr>
          <w:p>
            <w:pPr>
              <w:pStyle w:val="598"/>
              <w:shd w:val="clear" w:color="auto" w:fill="eaf1dd"/>
              <w:rPr>
                <w:color w:val="632423"/>
              </w:rPr>
            </w:pPr>
            <w:r>
              <w:rPr>
                <w:color w:val="632423"/>
              </w:rPr>
              <w:t xml:space="preserve">Куда обращаться</w:t>
            </w:r>
            <w:r/>
          </w:p>
        </w:tc>
        <w:tc>
          <w:tcPr>
            <w:shd w:val="clear" w:color="auto" w:fill="eaf1dd"/>
            <w:tcW w:w="7512" w:type="dxa"/>
            <w:vAlign w:val="top"/>
            <w:textDirection w:val="lrTb"/>
            <w:noWrap w:val="false"/>
          </w:tcPr>
          <w:p>
            <w:pPr>
              <w:pStyle w:val="598"/>
              <w:ind w:firstLine="459"/>
              <w:jc w:val="both"/>
              <w:rPr>
                <w:color w:val="632423"/>
              </w:rPr>
            </w:pPr>
            <w:r>
              <w:rPr>
                <w:bCs/>
                <w:color w:val="632423"/>
              </w:rPr>
              <w:t xml:space="preserve">Гражданин, изъявивший желание создать приемную семью, обращается в </w:t>
            </w:r>
            <w:r>
              <w:rPr>
                <w:color w:val="632423"/>
              </w:rPr>
              <w:t xml:space="preserve">государственное учреждение социального обслуживания Иркутской области, подведомственное уполномоченному органу и включенное в перечень, утвержденный правовым актом уполномоченного органа,</w:t>
            </w:r>
            <w:r>
              <w:rPr>
                <w:bCs/>
                <w:color w:val="632423"/>
              </w:rPr>
              <w:t xml:space="preserve"> с письменным заявлением о создании приемной семьи и предоставлении ежемесячной денежной выплаты.</w:t>
            </w:r>
            <w:r>
              <w:rPr>
                <w:color w:val="632423"/>
              </w:rPr>
            </w:r>
            <w:r/>
          </w:p>
        </w:tc>
      </w:tr>
      <w:tr>
        <w:trPr/>
        <w:tc>
          <w:tcPr>
            <w:shd w:val="clear" w:color="auto" w:fill="eaf1dd"/>
            <w:tcW w:w="2694" w:type="dxa"/>
            <w:vAlign w:val="top"/>
            <w:textDirection w:val="lrTb"/>
            <w:noWrap w:val="false"/>
          </w:tcPr>
          <w:p>
            <w:pPr>
              <w:pStyle w:val="598"/>
              <w:shd w:val="clear" w:color="auto" w:fill="eaf1dd"/>
              <w:rPr>
                <w:color w:val="632423"/>
                <w:highlight w:val="none"/>
              </w:rPr>
            </w:pPr>
            <w:r>
              <w:rPr>
                <w:color w:val="632423"/>
              </w:rPr>
              <w:t xml:space="preserve">3</w:t>
            </w:r>
            <w:r>
              <w:rPr>
                <w:color w:val="632423"/>
              </w:rPr>
              <w:t xml:space="preserve">. Размер </w:t>
            </w:r>
            <w:r>
              <w:rPr>
                <w:color w:val="632423"/>
              </w:rPr>
              <w:t xml:space="preserve">ежемесячной денежной выплаты</w:t>
            </w:r>
            <w:r>
              <w:rPr>
                <w:color w:val="632423"/>
              </w:rPr>
            </w:r>
            <w:r/>
          </w:p>
          <w:p>
            <w:pPr>
              <w:shd w:val="clear" w:color="auto" w:fill="eaf1dd"/>
              <w:rPr>
                <w:color w:val="632423"/>
              </w:rPr>
            </w:pPr>
            <w:r>
              <w:rPr>
                <w:color w:val="632423"/>
                <w:highlight w:val="none"/>
              </w:rPr>
              <w:t xml:space="preserve">(с апреля 2024 г.)</w:t>
            </w:r>
            <w:r>
              <w:rPr>
                <w:color w:val="632423"/>
                <w:highlight w:val="none"/>
              </w:rPr>
            </w:r>
          </w:p>
        </w:tc>
        <w:tc>
          <w:tcPr>
            <w:shd w:val="clear" w:color="auto" w:fill="eaf1dd"/>
            <w:tcW w:w="7512" w:type="dxa"/>
            <w:vAlign w:val="top"/>
            <w:textDirection w:val="lrTb"/>
            <w:noWrap w:val="false"/>
          </w:tcPr>
          <w:p>
            <w:pPr>
              <w:pStyle w:val="598"/>
              <w:ind w:firstLine="459"/>
              <w:jc w:val="both"/>
              <w:rPr>
                <w:color w:val="632423"/>
              </w:rPr>
            </w:pPr>
            <w:r>
              <w:rPr>
                <w:color w:val="632423"/>
              </w:rPr>
              <w:t xml:space="preserve">Размер ежемесячной денежной выплаты для граждан, осуществляющих уход, проживающих в районах Крайнего Севера и местностях, приравненных к районам Крайнего Севера, составляет 8 217,62</w:t>
            </w:r>
            <w:r>
              <w:rPr>
                <w:color w:val="632423"/>
              </w:rPr>
              <w:t xml:space="preserve"> </w:t>
            </w:r>
            <w:r>
              <w:rPr>
                <w:color w:val="632423"/>
              </w:rPr>
              <w:t xml:space="preserve">руб</w:t>
            </w:r>
            <w:r>
              <w:rPr>
                <w:color w:val="632423"/>
              </w:rPr>
              <w:t xml:space="preserve">.</w:t>
            </w:r>
            <w:r>
              <w:rPr>
                <w:color w:val="632423"/>
              </w:rPr>
              <w:t xml:space="preserve">, для граждан, осуществляющих уход, проживающих в иных местностях Иркутской области, составляет 5 057,55 </w:t>
            </w:r>
            <w:r>
              <w:rPr>
                <w:color w:val="632423"/>
              </w:rPr>
              <w:t xml:space="preserve">руб.</w:t>
            </w:r>
            <w:r/>
          </w:p>
          <w:p>
            <w:pPr>
              <w:pStyle w:val="598"/>
              <w:ind w:firstLine="459"/>
              <w:jc w:val="both"/>
              <w:rPr>
                <w:color w:val="632423"/>
              </w:rPr>
            </w:pPr>
            <w:r>
              <w:rPr>
                <w:color w:val="632423"/>
              </w:rPr>
              <w:t xml:space="preserve">Размер ежемесячной денежной выплаты повышается на 50 процентов в случае, если гражданин, нуж</w:t>
            </w:r>
            <w:r>
              <w:rPr>
                <w:color w:val="632423"/>
              </w:rPr>
              <w:t xml:space="preserve">дающийся в социальной помощи, является инвалидом I группы либо достиг возраста 80 лет. ( в иных местностях - 7 586,33 руб.) </w:t>
            </w:r>
            <w:r>
              <w:rPr>
                <w:color w:val="632423"/>
              </w:rPr>
            </w:r>
            <w:r/>
          </w:p>
        </w:tc>
      </w:tr>
      <w:tr>
        <w:trPr>
          <w:trHeight w:val="933"/>
        </w:trPr>
        <w:tc>
          <w:tcPr>
            <w:shd w:val="clear" w:color="auto" w:fill="eaf1dd"/>
            <w:tcW w:w="2694" w:type="dxa"/>
            <w:vAlign w:val="top"/>
            <w:textDirection w:val="lrTb"/>
            <w:noWrap w:val="false"/>
          </w:tcPr>
          <w:p>
            <w:pPr>
              <w:pStyle w:val="598"/>
              <w:shd w:val="clear" w:color="auto" w:fill="eaf1dd"/>
              <w:rPr>
                <w:color w:val="632423"/>
              </w:rPr>
            </w:pPr>
            <w:r>
              <w:rPr>
                <w:color w:val="632423"/>
              </w:rPr>
              <w:t xml:space="preserve">4</w:t>
            </w:r>
            <w:r>
              <w:rPr>
                <w:color w:val="632423"/>
              </w:rPr>
              <w:t xml:space="preserve">. </w:t>
            </w:r>
            <w:r>
              <w:rPr>
                <w:color w:val="632423"/>
              </w:rPr>
              <w:t xml:space="preserve">Необходимые документы</w:t>
            </w:r>
            <w:r>
              <w:rPr>
                <w:color w:val="632423"/>
              </w:rPr>
            </w:r>
            <w:r/>
          </w:p>
        </w:tc>
        <w:tc>
          <w:tcPr>
            <w:shd w:val="clear" w:color="auto" w:fill="eaf1dd"/>
            <w:tcW w:w="7512" w:type="dxa"/>
            <w:vAlign w:val="top"/>
            <w:textDirection w:val="lrTb"/>
            <w:noWrap w:val="false"/>
          </w:tcPr>
          <w:p>
            <w:pPr>
              <w:pStyle w:val="598"/>
              <w:ind w:firstLine="459"/>
              <w:jc w:val="both"/>
              <w:rPr>
                <w:bCs/>
                <w:color w:val="632423"/>
              </w:rPr>
            </w:pPr>
            <w:r>
              <w:rPr>
                <w:bCs/>
                <w:color w:val="632423"/>
              </w:rPr>
              <w:t xml:space="preserve">Д</w:t>
            </w:r>
            <w:r>
              <w:rPr>
                <w:bCs/>
                <w:color w:val="632423"/>
              </w:rPr>
              <w:t xml:space="preserve">оговор о приемной семье</w:t>
            </w:r>
            <w:r>
              <w:rPr>
                <w:bCs/>
                <w:color w:val="632423"/>
              </w:rPr>
              <w:t xml:space="preserve">;</w:t>
            </w:r>
            <w:r>
              <w:rPr>
                <w:bCs/>
                <w:color w:val="632423"/>
              </w:rPr>
              <w:t xml:space="preserve"> </w:t>
            </w:r>
            <w:r/>
          </w:p>
          <w:p>
            <w:pPr>
              <w:pStyle w:val="598"/>
              <w:ind w:firstLine="459"/>
              <w:jc w:val="both"/>
              <w:rPr>
                <w:color w:val="632423"/>
              </w:rPr>
            </w:pPr>
            <w:r>
              <w:rPr>
                <w:bCs/>
                <w:color w:val="632423"/>
              </w:rPr>
              <w:t xml:space="preserve">заявление о предоставлении ежемесячной денежной выплаты гражданину, осуществляющему уход за гражданином, нуждающимся в социальной помощи</w:t>
            </w:r>
            <w:r>
              <w:rPr>
                <w:bCs/>
                <w:color w:val="632423"/>
              </w:rPr>
              <w:t xml:space="preserve">.</w:t>
            </w:r>
            <w:r>
              <w:rPr>
                <w:color w:val="632423"/>
              </w:rPr>
            </w:r>
            <w:r/>
          </w:p>
        </w:tc>
      </w:tr>
      <w:tr>
        <w:trPr/>
        <w:tc>
          <w:tcPr>
            <w:shd w:val="clear" w:color="auto" w:fill="eaf1dd"/>
            <w:tcW w:w="2694" w:type="dxa"/>
            <w:vAlign w:val="top"/>
            <w:textDirection w:val="lrTb"/>
            <w:noWrap w:val="false"/>
          </w:tcPr>
          <w:p>
            <w:pPr>
              <w:pStyle w:val="598"/>
              <w:shd w:val="clear" w:color="auto" w:fill="eaf1dd"/>
              <w:rPr>
                <w:color w:val="632423"/>
              </w:rPr>
            </w:pPr>
            <w:r>
              <w:rPr>
                <w:color w:val="632423"/>
              </w:rPr>
              <w:t xml:space="preserve">5. Особые у</w:t>
            </w:r>
            <w:r>
              <w:rPr>
                <w:color w:val="632423"/>
              </w:rPr>
              <w:t xml:space="preserve">с</w:t>
            </w:r>
            <w:r>
              <w:rPr>
                <w:color w:val="632423"/>
              </w:rPr>
              <w:t xml:space="preserve">ловия</w:t>
            </w:r>
            <w:r/>
          </w:p>
        </w:tc>
        <w:tc>
          <w:tcPr>
            <w:shd w:val="clear" w:color="auto" w:fill="eaf1dd"/>
            <w:tcW w:w="7512" w:type="dxa"/>
            <w:vAlign w:val="top"/>
            <w:textDirection w:val="lrTb"/>
            <w:noWrap w:val="false"/>
          </w:tcPr>
          <w:p>
            <w:pPr>
              <w:pStyle w:val="598"/>
              <w:ind w:firstLine="459"/>
              <w:jc w:val="both"/>
              <w:rPr>
                <w:color w:val="632423"/>
              </w:rPr>
            </w:pPr>
            <w:r>
              <w:rPr>
                <w:color w:val="632423"/>
              </w:rPr>
              <w:t xml:space="preserve">Ежемесячная денежная выплата назначается с 1 числа месяца, в котором заключен договор о приемной семье.</w:t>
            </w:r>
            <w:r/>
          </w:p>
          <w:p>
            <w:pPr>
              <w:pStyle w:val="598"/>
              <w:ind w:firstLine="459"/>
              <w:jc w:val="both"/>
              <w:rPr>
                <w:color w:val="632423"/>
              </w:rPr>
            </w:pPr>
            <w:r>
              <w:rPr>
                <w:color w:val="632423"/>
              </w:rPr>
              <w:t xml:space="preserve">Решение о назначении ежемесячной денежной выплаты принимается управлением социальной защиты на основании договора о приемной семье в течение десяти рабочих дней со дня заключения договора о приемной семье.</w:t>
            </w:r>
            <w:r/>
          </w:p>
          <w:p>
            <w:pPr>
              <w:pStyle w:val="598"/>
              <w:ind w:firstLine="459"/>
              <w:jc w:val="both"/>
              <w:rPr>
                <w:color w:val="632423"/>
              </w:rPr>
            </w:pPr>
            <w:r>
              <w:rPr>
                <w:color w:val="632423"/>
              </w:rPr>
              <w:t xml:space="preserve">Предоставление ежемесячной денежной выплаты осуществляется не позднее 25 числа месяца, следующего за расчетным.</w:t>
            </w:r>
            <w:r/>
          </w:p>
          <w:p>
            <w:pPr>
              <w:pStyle w:val="598"/>
              <w:ind w:firstLine="459"/>
              <w:jc w:val="both"/>
              <w:rPr>
                <w:color w:val="632423"/>
              </w:rPr>
            </w:pPr>
            <w:r>
              <w:rPr>
                <w:color w:val="632423"/>
              </w:rPr>
              <w:t xml:space="preserve">В случае прекращения договора о приемной семье предоставление ежемесячной денежной выплаты прекращается.</w:t>
            </w:r>
            <w:r>
              <w:rPr>
                <w:color w:val="632423"/>
              </w:rPr>
            </w:r>
            <w:r/>
          </w:p>
        </w:tc>
      </w:tr>
      <w:tr>
        <w:trPr/>
        <w:tc>
          <w:tcPr>
            <w:shd w:val="clear" w:color="auto" w:fill="eaf1dd"/>
            <w:tcW w:w="2694" w:type="dxa"/>
            <w:vAlign w:val="top"/>
            <w:textDirection w:val="lrTb"/>
            <w:noWrap w:val="false"/>
          </w:tcPr>
          <w:p>
            <w:pPr>
              <w:pStyle w:val="598"/>
              <w:shd w:val="clear" w:color="auto" w:fill="eaf1dd"/>
              <w:rPr>
                <w:color w:val="632423"/>
              </w:rPr>
            </w:pPr>
            <w:r>
              <w:rPr>
                <w:color w:val="632423"/>
              </w:rPr>
              <w:t xml:space="preserve">6</w:t>
            </w:r>
            <w:r>
              <w:rPr>
                <w:color w:val="632423"/>
              </w:rPr>
              <w:t xml:space="preserve">. </w:t>
            </w:r>
            <w:r>
              <w:rPr>
                <w:color w:val="632423"/>
              </w:rPr>
              <w:t xml:space="preserve">Способ выплаты</w:t>
            </w:r>
            <w:r>
              <w:rPr>
                <w:color w:val="632423"/>
              </w:rPr>
              <w:t xml:space="preserve"> </w:t>
            </w:r>
            <w:r>
              <w:rPr>
                <w:color w:val="632423"/>
              </w:rPr>
            </w:r>
            <w:r/>
          </w:p>
        </w:tc>
        <w:tc>
          <w:tcPr>
            <w:shd w:val="clear" w:color="auto" w:fill="eaf1dd"/>
            <w:tcW w:w="7512" w:type="dxa"/>
            <w:vAlign w:val="top"/>
            <w:textDirection w:val="lrTb"/>
            <w:noWrap w:val="false"/>
          </w:tcPr>
          <w:p>
            <w:pPr>
              <w:pStyle w:val="598"/>
              <w:ind w:firstLine="459"/>
              <w:jc w:val="both"/>
              <w:shd w:val="clear" w:color="auto" w:fill="eaf1dd"/>
              <w:rPr>
                <w:color w:val="632423"/>
              </w:rPr>
            </w:pPr>
            <w:r>
              <w:rPr>
                <w:color w:val="632423"/>
                <w:shd w:val="clear" w:color="auto" w:fill="eaf1dd"/>
              </w:rPr>
              <w:t xml:space="preserve">Выплата ежемесячной денежной выплаты осуществляется путем зачисления денежных средств на счет гражданина, осуществляющего уход</w:t>
            </w:r>
            <w:r>
              <w:rPr>
                <w:color w:val="632423"/>
              </w:rPr>
              <w:t xml:space="preserve"> за гражданином, нуждающимся в социальной помощи, открытый в кредитной организации, либо через организации федеральной почтовой связи, либо через иные организации, осуществляющие доставку мер социальной поддержки.</w:t>
            </w:r>
            <w:r>
              <w:rPr>
                <w:color w:val="632423"/>
              </w:rPr>
            </w:r>
            <w:r/>
          </w:p>
        </w:tc>
      </w:tr>
    </w:tbl>
    <w:p>
      <w:pPr>
        <w:pStyle w:val="598"/>
        <w:shd w:val="clear" w:color="auto" w:fill="ffffff"/>
        <w:rPr>
          <w:color w:val="632423"/>
        </w:rPr>
      </w:pPr>
      <w:r>
        <w:rPr>
          <w:color w:val="632423"/>
        </w:rPr>
      </w:r>
      <w:r/>
    </w:p>
    <w:p>
      <w:pPr>
        <w:pStyle w:val="598"/>
        <w:shd w:val="clear" w:color="auto" w:fill="ffffff"/>
        <w:rPr>
          <w:color w:val="632423"/>
        </w:rPr>
      </w:pPr>
      <w:r>
        <w:rPr>
          <w:color w:val="632423"/>
        </w:rPr>
      </w:r>
      <w:r/>
    </w:p>
    <w:sectPr>
      <w:footnotePr/>
      <w:endnotePr/>
      <w:type w:val="nextPage"/>
      <w:pgSz w:w="11906" w:h="16838" w:orient="portrait"/>
      <w:pgMar w:top="737" w:right="924" w:bottom="425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character" w:styleId="599">
    <w:name w:val="Основной шрифт абзаца, Знак Знак Знак Знак Знак Знак Знак Знак"/>
    <w:next w:val="599"/>
    <w:link w:val="603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table" w:styleId="602">
    <w:name w:val="Сетка таблицы"/>
    <w:basedOn w:val="600"/>
    <w:next w:val="602"/>
    <w:link w:val="598"/>
    <w:tblPr/>
  </w:style>
  <w:style w:type="paragraph" w:styleId="603">
    <w:name w:val=" Знак Знак Знак Знак Знак Знак"/>
    <w:basedOn w:val="598"/>
    <w:next w:val="603"/>
    <w:link w:val="599"/>
    <w:rPr>
      <w:rFonts w:ascii="Verdana" w:hAnsi="Verdana" w:cs="Verdana"/>
      <w:sz w:val="20"/>
      <w:szCs w:val="20"/>
      <w:lang w:val="en-US" w:eastAsia="en-US"/>
    </w:rPr>
  </w:style>
  <w:style w:type="paragraph" w:styleId="604">
    <w:name w:val="Текст выноски"/>
    <w:basedOn w:val="598"/>
    <w:next w:val="604"/>
    <w:link w:val="598"/>
    <w:semiHidden/>
    <w:rPr>
      <w:rFonts w:ascii="Tahoma" w:hAnsi="Tahoma" w:cs="Tahoma"/>
      <w:sz w:val="16"/>
      <w:szCs w:val="16"/>
    </w:rPr>
  </w:style>
  <w:style w:type="paragraph" w:styleId="605">
    <w:name w:val="ConsPlusNormal"/>
    <w:next w:val="605"/>
    <w:link w:val="598"/>
    <w:rPr>
      <w:sz w:val="24"/>
      <w:szCs w:val="24"/>
      <w:lang w:val="ru-RU" w:eastAsia="ru-RU" w:bidi="ar-SA"/>
    </w:rPr>
  </w:style>
  <w:style w:type="paragraph" w:styleId="606">
    <w:name w:val="Рецензия"/>
    <w:next w:val="606"/>
    <w:link w:val="598"/>
    <w:hidden/>
    <w:uiPriority w:val="99"/>
    <w:semiHidden/>
    <w:rPr>
      <w:sz w:val="24"/>
      <w:szCs w:val="24"/>
      <w:lang w:val="ru-RU" w:eastAsia="ru-RU" w:bidi="ar-SA"/>
    </w:rPr>
  </w:style>
  <w:style w:type="character" w:styleId="898" w:default="1">
    <w:name w:val="Default Paragraph Font"/>
    <w:uiPriority w:val="1"/>
    <w:semiHidden/>
    <w:unhideWhenUsed/>
  </w:style>
  <w:style w:type="numbering" w:styleId="899" w:default="1">
    <w:name w:val="No List"/>
    <w:uiPriority w:val="99"/>
    <w:semiHidden/>
    <w:unhideWhenUsed/>
  </w:style>
  <w:style w:type="table" w:styleId="9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30</cp:revision>
  <dcterms:created xsi:type="dcterms:W3CDTF">2019-04-17T02:12:00Z</dcterms:created>
  <dcterms:modified xsi:type="dcterms:W3CDTF">2025-02-11T04:44:55Z</dcterms:modified>
  <cp:version>983040</cp:version>
</cp:coreProperties>
</file>