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page" w:tblpY="465" w:leftFromText="180" w:topFromText="0" w:rightFromText="180" w:bottomFromText="0"/>
        <w:tblW w:w="103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14"/>
        <w:gridCol w:w="6254"/>
      </w:tblGrid>
      <w:tr>
        <w:trPr>
          <w:trHeight w:val="3022"/>
        </w:trPr>
        <w:tc>
          <w:tcPr>
            <w:tcBorders>
              <w:top w:val="single" w:color="993366" w:sz="4" w:space="0"/>
              <w:left w:val="single" w:color="993366" w:sz="4" w:space="0"/>
              <w:bottom w:val="single" w:color="993366" w:sz="4" w:space="0"/>
              <w:right w:val="single" w:color="993366" w:sz="4" w:space="0"/>
            </w:tcBorders>
            <w:tcW w:w="4114" w:type="dxa"/>
            <w:vAlign w:val="top"/>
            <w:textDirection w:val="lrTb"/>
            <w:noWrap w:val="false"/>
          </w:tcPr>
          <w:p>
            <w:pPr>
              <w:pStyle w:val="598"/>
              <w:framePr w:hSpace="180" w:wrap="around" w:vAnchor="page" w:hAnchor="margin" w:y="465"/>
            </w:pPr>
            <w:r/>
            <w:r/>
          </w:p>
          <w:p>
            <w:pPr>
              <w:pStyle w:val="598"/>
              <w:framePr w:hSpace="180" w:wrap="around" w:vAnchor="page" w:hAnchor="margin" w:y="465"/>
            </w:pPr>
            <w:r>
              <w:fldChar w:fldCharType="begin"/>
            </w:r>
            <w:r>
              <w:instrText xml:space="preserve"> SHAPE  \* MERGEFORMAT </w:instrText>
            </w:r>
            <w:r>
              <w:fldChar w:fldCharType="separate"/>
            </w: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320290" cy="1741170"/>
                      <wp:effectExtent l="0" t="0" r="0" b="0"/>
                      <wp:docPr id="1" name="_x0000_s104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20290" cy="1741170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6633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2.7pt;height:137.1pt;mso-wrap-distance-left:0.0pt;mso-wrap-distance-top:0.0pt;mso-wrap-distance-right:0.0pt;mso-wrap-distance-bottom:0.0pt;" strokecolor="#663300" strokeweight="6.0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fldChar w:fldCharType="end"/>
            </w:r>
            <w:r/>
          </w:p>
        </w:tc>
        <w:tc>
          <w:tcPr>
            <w:tcBorders>
              <w:left w:val="single" w:color="993366" w:sz="4" w:space="0"/>
            </w:tcBorders>
            <w:tcW w:w="6254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rPr>
                <w:b/>
                <w:color w:val="800080"/>
                <w:sz w:val="22"/>
                <w:szCs w:val="22"/>
              </w:rPr>
              <w:framePr w:hSpace="180" w:wrap="around" w:vAnchor="page" w:hAnchor="margin" w:y="465"/>
            </w:pPr>
            <w:r>
              <w:rPr>
                <w:b/>
                <w:color w:val="800080"/>
                <w:sz w:val="22"/>
                <w:szCs w:val="22"/>
              </w:rPr>
            </w:r>
            <w:r/>
          </w:p>
          <w:p>
            <w:pPr>
              <w:pStyle w:val="598"/>
              <w:jc w:val="center"/>
              <w:rPr>
                <w:b/>
                <w:color w:val="800000"/>
                <w:sz w:val="32"/>
                <w:szCs w:val="32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32"/>
                <w:szCs w:val="32"/>
              </w:rPr>
              <w:t xml:space="preserve">ПАМЯТКА </w:t>
            </w:r>
            <w:r/>
          </w:p>
          <w:p>
            <w:pPr>
              <w:pStyle w:val="598"/>
              <w:jc w:val="center"/>
              <w:rPr>
                <w:color w:val="800000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color w:val="800000"/>
                <w:sz w:val="28"/>
                <w:szCs w:val="28"/>
              </w:rPr>
            </w:r>
            <w:r/>
          </w:p>
          <w:p>
            <w:pPr>
              <w:pStyle w:val="598"/>
              <w:jc w:val="center"/>
              <w:rPr>
                <w:b/>
                <w:color w:val="333300"/>
                <w:sz w:val="28"/>
                <w:szCs w:val="28"/>
                <w:lang w:eastAsia="ru-RU"/>
              </w:rPr>
            </w:pP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О 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компенсации расходов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 лицам из числа </w:t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bCs/>
                <w:color w:val="333300"/>
                <w:sz w:val="28"/>
                <w:szCs w:val="28"/>
                <w:lang w:eastAsia="ru-RU"/>
              </w:rPr>
              <w:t xml:space="preserve">детей-сирот и детей, оставшихся без попечения родителей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, понесенных ими в связи с ремонтом жилых помещений, принадлежащих</w:t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br w:type="textWrapping" w:clear="all"/>
            </w:r>
            <w:r>
              <w:rPr>
                <w:b/>
                <w:color w:val="333300"/>
                <w:sz w:val="28"/>
                <w:szCs w:val="28"/>
                <w:lang w:eastAsia="ru-RU"/>
              </w:rPr>
              <w:t xml:space="preserve">им на праве собственности</w:t>
            </w:r>
            <w:r/>
          </w:p>
          <w:p>
            <w:pPr>
              <w:pStyle w:val="598"/>
              <w:jc w:val="center"/>
              <w:rPr>
                <w:b/>
                <w:color w:val="993366"/>
                <w:sz w:val="28"/>
                <w:szCs w:val="28"/>
              </w:rPr>
              <w:framePr w:hSpace="180" w:wrap="around" w:vAnchor="page" w:hAnchor="margin" w:y="465"/>
            </w:pPr>
            <w:r>
              <w:rPr>
                <w:b/>
                <w:color w:val="800000"/>
                <w:sz w:val="22"/>
                <w:szCs w:val="22"/>
                <w:lang w:eastAsia="ru-RU"/>
              </w:rPr>
              <w:t xml:space="preserve"> </w:t>
            </w:r>
            <w:r>
              <w:rPr>
                <w:b/>
                <w:color w:val="993366"/>
                <w:sz w:val="28"/>
                <w:szCs w:val="28"/>
              </w:rPr>
            </w:r>
            <w:r/>
          </w:p>
        </w:tc>
      </w:tr>
    </w:tbl>
    <w:p>
      <w:pPr>
        <w:pStyle w:val="598"/>
        <w:jc w:val="center"/>
        <w:tabs>
          <w:tab w:val="left" w:pos="1365" w:leader="none"/>
        </w:tabs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Закон Иркутской области </w:t>
      </w:r>
      <w:r/>
    </w:p>
    <w:p>
      <w:pPr>
        <w:pStyle w:val="598"/>
        <w:jc w:val="center"/>
        <w:tabs>
          <w:tab w:val="left" w:pos="1365" w:leader="none"/>
        </w:tabs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от 17 декабря 2008 года № 107-оз «Об отдельных мерах социальной поддержки детей-сирот и детей, о</w:t>
      </w:r>
      <w:r>
        <w:rPr>
          <w:b/>
          <w:color w:val="800000"/>
          <w:sz w:val="28"/>
          <w:szCs w:val="28"/>
        </w:rPr>
        <w:t xml:space="preserve">с</w:t>
      </w:r>
      <w:r>
        <w:rPr>
          <w:b/>
          <w:color w:val="800000"/>
          <w:sz w:val="28"/>
          <w:szCs w:val="28"/>
        </w:rPr>
        <w:t xml:space="preserve">тавшихся без попечения родителей, лиц из числа детей-сирот и детей, оставшихся без попечения родителей, в Иркутской области»</w:t>
      </w:r>
      <w:r/>
    </w:p>
    <w:p>
      <w:pPr>
        <w:pStyle w:val="598"/>
        <w:jc w:val="center"/>
        <w:rPr>
          <w:b/>
          <w:color w:val="800000"/>
          <w:sz w:val="22"/>
          <w:szCs w:val="22"/>
        </w:rPr>
      </w:pPr>
      <w:r>
        <w:rPr>
          <w:b/>
          <w:color w:val="800000"/>
          <w:sz w:val="22"/>
          <w:szCs w:val="22"/>
        </w:rPr>
      </w:r>
      <w:r/>
    </w:p>
    <w:tbl>
      <w:tblPr>
        <w:tblW w:w="10620" w:type="dxa"/>
        <w:tblInd w:w="-7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80"/>
        <w:gridCol w:w="7740"/>
      </w:tblGrid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1. Категория граждан, имеющая право на получение </w:t>
            </w:r>
            <w:r>
              <w:rPr>
                <w:b/>
                <w:color w:val="333300"/>
                <w:lang w:eastAsia="ru-RU"/>
              </w:rPr>
              <w:t xml:space="preserve">компенсации</w:t>
            </w:r>
            <w:r>
              <w:rPr>
                <w:b/>
                <w:color w:val="333300"/>
                <w:lang w:eastAsia="ru-RU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Лица из числа детей-сирот и детей, оставшихся без попечения родителей, компенсации расходов, понесенных ими в связи с ремонтом жилых помещений, принадлежащих им на праве собственности в возрасте до 19 лет включительно.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2. Куда обращаться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В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Иркутской области </w:t>
            </w:r>
            <w:r>
              <w:rPr>
                <w:b/>
                <w:color w:val="333300"/>
              </w:rPr>
              <w:t xml:space="preserve">по месту жительства</w:t>
            </w:r>
            <w:r>
              <w:rPr>
                <w:b/>
                <w:color w:val="333300"/>
              </w:rPr>
              <w:t xml:space="preserve">.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3. Размер </w:t>
            </w:r>
            <w:r>
              <w:rPr>
                <w:b/>
                <w:color w:val="333300"/>
              </w:rPr>
              <w:t xml:space="preserve">выплаты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В размере произведенных на ремонт жилого помещения затрат, но не более 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100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 </w:t>
            </w:r>
            <w:r>
              <w:rPr>
                <w:b/>
                <w:bCs/>
                <w:color w:val="333300"/>
                <w:sz w:val="26"/>
                <w:szCs w:val="26"/>
                <w:lang w:eastAsia="ru-RU"/>
              </w:rPr>
              <w:t xml:space="preserve">000</w:t>
            </w:r>
            <w:r>
              <w:rPr>
                <w:b/>
                <w:bCs/>
                <w:color w:val="333300"/>
                <w:lang w:eastAsia="ru-RU"/>
              </w:rPr>
              <w:t xml:space="preserve"> </w:t>
            </w:r>
            <w:r>
              <w:rPr>
                <w:b/>
                <w:bCs/>
                <w:color w:val="333300"/>
                <w:lang w:eastAsia="ru-RU"/>
              </w:rPr>
              <w:t xml:space="preserve">рублей.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4</w:t>
            </w:r>
            <w:r>
              <w:rPr>
                <w:b/>
                <w:color w:val="333300"/>
              </w:rPr>
              <w:t xml:space="preserve">. Документы</w:t>
            </w:r>
            <w:r>
              <w:rPr>
                <w:b/>
                <w:color w:val="333300"/>
              </w:rPr>
              <w:t xml:space="preserve">,</w:t>
            </w:r>
            <w:r>
              <w:rPr>
                <w:b/>
                <w:color w:val="333300"/>
              </w:rPr>
              <w:t xml:space="preserve"> предоставляемые заявителем </w:t>
            </w:r>
            <w:r>
              <w:rPr>
                <w:b/>
                <w:color w:val="333300"/>
              </w:rPr>
              <w:t xml:space="preserve">в </w:t>
            </w:r>
            <w:r>
              <w:rPr>
                <w:b/>
                <w:color w:val="333300"/>
              </w:rPr>
              <w:t xml:space="preserve">у</w:t>
            </w:r>
            <w:r>
              <w:rPr>
                <w:b/>
                <w:color w:val="333300"/>
              </w:rPr>
              <w:t xml:space="preserve">правление социальной защиты населения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  <w:t xml:space="preserve">  Иркутской области по месту жительства</w:t>
            </w:r>
            <w:r>
              <w:rPr>
                <w:b/>
                <w:color w:val="333300"/>
              </w:rPr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color w:val="333300"/>
                <w:lang w:eastAsia="ru-RU"/>
              </w:rPr>
              <w:t xml:space="preserve">Заявление, </w:t>
            </w:r>
            <w:r>
              <w:rPr>
                <w:b/>
                <w:color w:val="333300"/>
                <w:lang w:eastAsia="ru-RU"/>
              </w:rPr>
              <w:t xml:space="preserve">к которому </w:t>
            </w:r>
            <w:r>
              <w:rPr>
                <w:b/>
                <w:bCs/>
                <w:color w:val="333300"/>
                <w:lang w:eastAsia="ru-RU"/>
              </w:rPr>
              <w:t xml:space="preserve">прилагаются:</w:t>
            </w:r>
            <w:r/>
          </w:p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1) паспорт или иной документ, удостоверяющий личность лица;</w:t>
            </w:r>
            <w:r/>
          </w:p>
          <w:p>
            <w:pPr>
              <w:pStyle w:val="598"/>
              <w:ind w:left="72" w:firstLine="468"/>
            </w:pPr>
            <w:r>
              <w:rPr>
                <w:b/>
                <w:bCs/>
                <w:color w:val="333300"/>
                <w:lang w:eastAsia="ru-RU"/>
              </w:rPr>
              <w:t xml:space="preserve">2) документ, удостоверяющий личность и полномочия представителя лица, - в случае обращения с </w:t>
            </w:r>
            <w:r>
              <w:rPr>
                <w:b/>
                <w:bCs/>
                <w:color w:val="333300"/>
                <w:lang w:eastAsia="ru-RU"/>
              </w:rPr>
              <w:fldChar w:fldCharType="begin"/>
            </w:r>
            <w:r>
              <w:rPr>
                <w:b/>
                <w:bCs/>
                <w:color w:val="33330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333300"/>
                <w:lang w:eastAsia="ru-RU"/>
              </w:rPr>
              <w:fldChar w:fldCharType="separate"/>
            </w:r>
            <w:r>
              <w:rPr>
                <w:b/>
                <w:bCs/>
                <w:color w:val="333300"/>
                <w:lang w:eastAsia="ru-RU"/>
              </w:rPr>
              <w:t xml:space="preserve">заявлением</w:t>
            </w:r>
            <w:r>
              <w:rPr>
                <w:b/>
                <w:bCs/>
                <w:color w:val="333300"/>
                <w:lang w:eastAsia="ru-RU"/>
              </w:rPr>
              <w:fldChar w:fldCharType="end"/>
            </w:r>
            <w:r>
              <w:rPr>
                <w:b/>
                <w:bCs/>
                <w:color w:val="333300"/>
                <w:lang w:eastAsia="ru-RU"/>
              </w:rPr>
              <w:t xml:space="preserve"> представителя лица;</w:t>
            </w:r>
            <w:r/>
          </w:p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3) правоустанавливающие документы на жилое помещение (в случае если право собственности на него не зарегистрировано в Едином государственном реестре прав на недвижимое имущество и сделок с ним);</w:t>
            </w:r>
            <w:r/>
          </w:p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4) документы, подтверждающие понесенные расходы на ремонт жилого помещения (чеки, товарные чеки, договоры подряда с калькуляцией затрат, акты приема-передачи выполненных работ, расписки, квитанции по оплате услуг по договору подряда).</w:t>
            </w:r>
            <w:r/>
          </w:p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Лицо либо его представитель вправе приложить к </w:t>
            </w:r>
            <w:r>
              <w:rPr>
                <w:b/>
                <w:bCs/>
                <w:color w:val="333300"/>
                <w:lang w:eastAsia="ru-RU"/>
              </w:rPr>
              <w:fldChar w:fldCharType="begin"/>
            </w:r>
            <w:r>
              <w:rPr>
                <w:b/>
                <w:bCs/>
                <w:color w:val="333300"/>
                <w:lang w:eastAsia="ru-RU"/>
              </w:rPr>
              <w:instrText xml:space="preserve">HYPERLINK consultantplus://offline/ref=CC98A8ADFDA79A39ED54C55057CC25D325CD88B35F880FA643BECC1B9E5D0D8EBC386E7B6A6AB8A5206A5AH939F </w:instrText>
            </w:r>
            <w:r>
              <w:rPr>
                <w:b/>
                <w:bCs/>
                <w:color w:val="333300"/>
                <w:lang w:eastAsia="ru-RU"/>
              </w:rPr>
              <w:fldChar w:fldCharType="separate"/>
            </w:r>
            <w:r>
              <w:rPr>
                <w:b/>
                <w:bCs/>
                <w:color w:val="333300"/>
                <w:lang w:eastAsia="ru-RU"/>
              </w:rPr>
              <w:t xml:space="preserve">заявлению</w:t>
            </w:r>
            <w:r>
              <w:rPr>
                <w:b/>
                <w:bCs/>
                <w:color w:val="333300"/>
                <w:lang w:eastAsia="ru-RU"/>
              </w:rPr>
              <w:fldChar w:fldCharType="end"/>
            </w:r>
            <w:r>
              <w:rPr>
                <w:b/>
                <w:bCs/>
                <w:color w:val="333300"/>
                <w:lang w:eastAsia="ru-RU"/>
              </w:rPr>
              <w:t xml:space="preserve"> следующие документы:</w:t>
            </w:r>
            <w:r/>
          </w:p>
          <w:p>
            <w:pPr>
              <w:pStyle w:val="598"/>
              <w:ind w:left="72" w:firstLine="468"/>
              <w:rPr>
                <w:b/>
                <w:bCs/>
                <w:color w:val="333300"/>
                <w:lang w:eastAsia="ru-RU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1) правоустанавливающие документы на жилое помещение (в случае если право собственности на него зарегистрировано в Едином государственном реестре прав на недвижимое имущество и сделок с ним);</w:t>
            </w:r>
            <w:r/>
          </w:p>
          <w:p>
            <w:pPr>
              <w:pStyle w:val="598"/>
              <w:ind w:left="72" w:firstLine="468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2) документ</w:t>
            </w:r>
            <w:r>
              <w:rPr>
                <w:b/>
                <w:bCs/>
                <w:color w:val="333300"/>
                <w:lang w:eastAsia="ru-RU"/>
              </w:rPr>
              <w:t xml:space="preserve">, выданный органом местного самоуправления муниципального образования Иркутской области, подтверждающий, что жилое помещение не признано в установленном порядке непригодным для проживания, многоквартирный дом аварийным и подлежащим сносу или реконструкции.</w:t>
            </w:r>
            <w:r>
              <w:rPr>
                <w:b/>
                <w:color w:val="333300"/>
              </w:rPr>
              <w:t xml:space="preserve"> </w:t>
            </w:r>
            <w:r>
              <w:rPr>
                <w:b/>
                <w:color w:val="333300"/>
              </w:rPr>
            </w:r>
            <w:r/>
          </w:p>
        </w:tc>
      </w:tr>
      <w:tr>
        <w:trPr/>
        <w:tc>
          <w:tcPr>
            <w:tcW w:w="2880" w:type="dxa"/>
            <w:vAlign w:val="top"/>
            <w:textDirection w:val="lrTb"/>
            <w:noWrap w:val="false"/>
          </w:tcPr>
          <w:p>
            <w:pPr>
              <w:pStyle w:val="598"/>
              <w:rPr>
                <w:b/>
                <w:color w:val="333300"/>
              </w:rPr>
            </w:pPr>
            <w:r>
              <w:rPr>
                <w:b/>
                <w:color w:val="333300"/>
              </w:rPr>
              <w:t xml:space="preserve">5. Период выплаты </w:t>
            </w:r>
            <w:r/>
          </w:p>
        </w:tc>
        <w:tc>
          <w:tcPr>
            <w:tcW w:w="7740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rPr>
                <w:b/>
                <w:color w:val="333300"/>
              </w:rPr>
            </w:pPr>
            <w:r>
              <w:rPr>
                <w:b/>
                <w:bCs/>
                <w:color w:val="333300"/>
                <w:lang w:eastAsia="ru-RU"/>
              </w:rPr>
              <w:t xml:space="preserve">Однократно </w:t>
            </w:r>
            <w:r>
              <w:rPr>
                <w:b/>
                <w:color w:val="333300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284" w:right="567" w:bottom="28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rPr>
      <w:sz w:val="24"/>
      <w:szCs w:val="24"/>
      <w:lang w:val="ru-RU" w:eastAsia="en-US" w:bidi="ar-SA"/>
    </w:rPr>
  </w:style>
  <w:style w:type="character" w:styleId="599">
    <w:name w:val="Основной шрифт абзаца, Знак Знак Знак Знак Знак Знак Знак Знак Знак Знак Знак"/>
    <w:next w:val="599"/>
    <w:link w:val="598"/>
    <w:semiHidden/>
  </w:style>
  <w:style w:type="table" w:styleId="600">
    <w:name w:val="Обычная таблица"/>
    <w:next w:val="600"/>
    <w:link w:val="598"/>
    <w:semiHidden/>
    <w:tblPr/>
  </w:style>
  <w:style w:type="numbering" w:styleId="601">
    <w:name w:val="Нет списка"/>
    <w:next w:val="601"/>
    <w:link w:val="598"/>
    <w:semiHidden/>
  </w:style>
  <w:style w:type="table" w:styleId="602">
    <w:name w:val="Сетка таблицы"/>
    <w:basedOn w:val="600"/>
    <w:next w:val="602"/>
    <w:link w:val="598"/>
    <w:tblPr/>
  </w:style>
  <w:style w:type="paragraph" w:styleId="603">
    <w:name w:val="Обычный (веб)"/>
    <w:basedOn w:val="598"/>
    <w:next w:val="603"/>
    <w:link w:val="598"/>
    <w:pPr>
      <w:spacing w:before="100" w:beforeAutospacing="1" w:after="100" w:afterAutospacing="1"/>
    </w:pPr>
    <w:rPr>
      <w:lang w:eastAsia="ru-RU"/>
    </w:rPr>
  </w:style>
  <w:style w:type="paragraph" w:styleId="604">
    <w:name w:val=" Знак Знак Знак Знак Знак Знак Знак Знак Знак"/>
    <w:basedOn w:val="598"/>
    <w:next w:val="604"/>
    <w:link w:val="598"/>
    <w:rPr>
      <w:rFonts w:ascii="Verdana" w:hAnsi="Verdana" w:cs="Verdana"/>
      <w:sz w:val="20"/>
      <w:szCs w:val="20"/>
      <w:lang w:val="en-US"/>
    </w:rPr>
  </w:style>
  <w:style w:type="paragraph" w:styleId="605">
    <w:name w:val="Текст выноски"/>
    <w:basedOn w:val="598"/>
    <w:next w:val="605"/>
    <w:link w:val="598"/>
    <w:semiHidden/>
    <w:rPr>
      <w:rFonts w:ascii="Tahoma" w:hAnsi="Tahoma" w:cs="Tahoma"/>
      <w:sz w:val="16"/>
      <w:szCs w:val="16"/>
    </w:rPr>
  </w:style>
  <w:style w:type="paragraph" w:styleId="606">
    <w:name w:val=" Знак Знак Знак Знак Знак Знак1"/>
    <w:basedOn w:val="598"/>
    <w:next w:val="606"/>
    <w:link w:val="598"/>
    <w:rPr>
      <w:rFonts w:ascii="Verdana" w:hAnsi="Verdana" w:cs="Verdana"/>
      <w:sz w:val="20"/>
      <w:szCs w:val="20"/>
      <w:lang w:val="en-US"/>
    </w:rPr>
  </w:style>
  <w:style w:type="paragraph" w:styleId="607">
    <w:name w:val=" Знак Знак Знак Знак Знак Знак"/>
    <w:basedOn w:val="598"/>
    <w:next w:val="607"/>
    <w:link w:val="599"/>
    <w:rPr>
      <w:rFonts w:ascii="Verdana" w:hAnsi="Verdana" w:cs="Verdana"/>
      <w:sz w:val="20"/>
      <w:szCs w:val="20"/>
      <w:lang w:val="en-US"/>
    </w:rPr>
  </w:style>
  <w:style w:type="character" w:styleId="871" w:default="1">
    <w:name w:val="Default Paragraph Font"/>
    <w:uiPriority w:val="1"/>
    <w:semiHidden/>
    <w:unhideWhenUsed/>
  </w:style>
  <w:style w:type="numbering" w:styleId="872" w:default="1">
    <w:name w:val="No List"/>
    <w:uiPriority w:val="99"/>
    <w:semiHidden/>
    <w:unhideWhenUsed/>
  </w:style>
  <w:style w:type="table" w:styleId="87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GUSZN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</dc:title>
  <dc:creator>100-ssk</dc:creator>
  <cp:revision>23</cp:revision>
  <dcterms:created xsi:type="dcterms:W3CDTF">2013-01-11T05:41:00Z</dcterms:created>
  <dcterms:modified xsi:type="dcterms:W3CDTF">2025-02-11T06:13:50Z</dcterms:modified>
  <cp:version>730895</cp:version>
</cp:coreProperties>
</file>