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82"/>
        <w:gridCol w:w="6186"/>
      </w:tblGrid>
      <w:tr>
        <w:trPr>
          <w:trHeight w:val="3385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3757" w:type="dxa"/>
            <w:vAlign w:val="top"/>
            <w:textDirection w:val="lrTb"/>
            <w:noWrap w:val="false"/>
          </w:tcPr>
          <w:p>
            <w:pPr>
              <w:pStyle w:val="598"/>
              <w:framePr w:hSpace="180" w:wrap="around" w:vAnchor="page" w:hAnchor="margin" w:y="465"/>
            </w:pPr>
            <w:r/>
            <w:r/>
          </w:p>
          <w:p>
            <w:pPr>
              <w:pStyle w:val="598"/>
              <w:framePr w:hSpace="180" w:wrap="around" w:vAnchor="page" w:hAnchor="margin" w:y="465"/>
            </w:pPr>
            <w:r>
              <w:fldChar w:fldCharType="begin"/>
            </w:r>
            <w:r>
              <w:instrText xml:space="preserve"> INCLUDEPICTURE "http://transport.vpeterburge.ru/img/frankfurt1.jpg" \* MERGEFORMATINET </w:instrText>
            </w:r>
            <w:r>
              <w:fldChar w:fldCharType="separate"/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18258" cy="188732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18258" cy="18873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8.3pt;height:148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  <w:fldChar w:fldCharType="end"/>
            </w:r>
            <w:r>
              <w:t xml:space="preserve"> </w:t>
            </w:r>
            <w:r/>
          </w:p>
        </w:tc>
        <w:tc>
          <w:tcPr>
            <w:tcBorders>
              <w:left w:val="single" w:color="993366" w:sz="4" w:space="0"/>
            </w:tcBorders>
            <w:tcW w:w="6611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598"/>
              <w:jc w:val="center"/>
              <w:rPr>
                <w:b/>
                <w:color w:val="0033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003300"/>
                <w:sz w:val="32"/>
                <w:szCs w:val="32"/>
              </w:rPr>
              <w:t xml:space="preserve">ПАМЯТКА</w:t>
            </w:r>
            <w:r/>
          </w:p>
          <w:p>
            <w:pPr>
              <w:pStyle w:val="598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17365d"/>
                <w:sz w:val="28"/>
                <w:szCs w:val="28"/>
                <w:lang w:eastAsia="ru-RU"/>
              </w:rPr>
            </w:pPr>
            <w:r>
              <w:rPr>
                <w:b/>
                <w:color w:val="17365d"/>
                <w:sz w:val="28"/>
                <w:szCs w:val="28"/>
                <w:lang w:eastAsia="ru-RU"/>
              </w:rPr>
              <w:t xml:space="preserve">Денежная компенсация стоимости проезда на городском, пригородном транспорте, в сельской местности на внутрирайонном транспорте лиц из числа детей-сирот и детей, оставшихся без попечения родителей</w:t>
            </w:r>
            <w:r>
              <w:rPr>
                <w:b/>
                <w:color w:val="17365d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598"/>
        <w:jc w:val="center"/>
        <w:rPr>
          <w:b/>
          <w:color w:val="800080"/>
          <w:sz w:val="16"/>
          <w:szCs w:val="16"/>
        </w:rPr>
      </w:pPr>
      <w:r>
        <w:rPr>
          <w:b/>
          <w:color w:val="800080"/>
          <w:sz w:val="16"/>
          <w:szCs w:val="16"/>
        </w:rPr>
      </w:r>
      <w:r/>
    </w:p>
    <w:p>
      <w:pPr>
        <w:pStyle w:val="598"/>
        <w:jc w:val="center"/>
        <w:tabs>
          <w:tab w:val="left" w:pos="1365" w:leader="none"/>
        </w:tabs>
        <w:rPr>
          <w:b/>
          <w:color w:val="003300"/>
          <w:sz w:val="28"/>
          <w:szCs w:val="28"/>
        </w:rPr>
      </w:pPr>
      <w:r>
        <w:rPr>
          <w:b/>
          <w:color w:val="003300"/>
          <w:sz w:val="28"/>
          <w:szCs w:val="28"/>
        </w:rPr>
        <w:t xml:space="preserve">З</w:t>
      </w:r>
      <w:r>
        <w:rPr>
          <w:b/>
          <w:color w:val="003300"/>
          <w:sz w:val="28"/>
          <w:szCs w:val="28"/>
        </w:rPr>
        <w:t xml:space="preserve">АКОН ИРКУТСКОЙ ОБЛАСТИ</w:t>
      </w:r>
      <w:r>
        <w:rPr>
          <w:b/>
          <w:color w:val="003300"/>
          <w:sz w:val="28"/>
          <w:szCs w:val="28"/>
        </w:rPr>
        <w:t xml:space="preserve"> </w:t>
      </w:r>
      <w:r>
        <w:rPr>
          <w:b/>
          <w:color w:val="003300"/>
          <w:sz w:val="28"/>
          <w:szCs w:val="28"/>
        </w:rPr>
      </w:r>
      <w:r/>
    </w:p>
    <w:p>
      <w:pPr>
        <w:pStyle w:val="598"/>
        <w:jc w:val="center"/>
        <w:tabs>
          <w:tab w:val="left" w:pos="1365" w:leader="none"/>
        </w:tabs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от 17 декабря 2008 года № 107-оз </w:t>
      </w:r>
      <w:r/>
    </w:p>
    <w:p>
      <w:pPr>
        <w:pStyle w:val="598"/>
        <w:jc w:val="center"/>
        <w:tabs>
          <w:tab w:val="left" w:pos="1365" w:leader="none"/>
        </w:tabs>
        <w:rPr>
          <w:b/>
          <w:color w:val="003300"/>
        </w:rPr>
      </w:pPr>
      <w:r>
        <w:rPr>
          <w:b/>
          <w:color w:val="003300"/>
        </w:rPr>
        <w:t xml:space="preserve">«ОБ ОТДЕЛЬНЫХ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В ИРКУТСКОЙ ОБЛАСТИ» </w:t>
      </w:r>
      <w:r/>
    </w:p>
    <w:p>
      <w:pPr>
        <w:pStyle w:val="598"/>
        <w:jc w:val="center"/>
        <w:rPr>
          <w:b/>
          <w:color w:val="003300"/>
          <w:sz w:val="16"/>
          <w:szCs w:val="16"/>
        </w:rPr>
      </w:pPr>
      <w:r>
        <w:rPr>
          <w:b/>
          <w:color w:val="003300"/>
          <w:sz w:val="16"/>
          <w:szCs w:val="16"/>
        </w:rPr>
      </w:r>
      <w:r/>
    </w:p>
    <w:tbl>
      <w:tblPr>
        <w:tblW w:w="1080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00"/>
        <w:gridCol w:w="8100"/>
      </w:tblGrid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1. Категория граждан, имеющая право на </w:t>
            </w: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обеспечение бесплатным проездом</w:t>
            </w:r>
            <w:r>
              <w:rPr>
                <w:b/>
                <w:color w:val="17365d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Лица из числа детей-сирот и детей, оставшихся без попечения родителей, до достижения возраста 18 лет находившиеся под попечительством, обучающиеся в муниципальных общеобразовательных организациях после достижения восемнадцатилетнего возраста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/>
          </w:p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2. Куда обращаться</w:t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jc w:val="both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В</w:t>
            </w:r>
            <w:r>
              <w:rPr>
                <w:b/>
                <w:color w:val="17365d"/>
                <w:sz w:val="26"/>
                <w:szCs w:val="26"/>
              </w:rPr>
              <w:t xml:space="preserve"> </w:t>
            </w:r>
            <w:r>
              <w:rPr>
                <w:b/>
                <w:color w:val="17365d"/>
                <w:sz w:val="26"/>
                <w:szCs w:val="26"/>
              </w:rPr>
              <w:t xml:space="preserve">у</w:t>
            </w:r>
            <w:r>
              <w:rPr>
                <w:b/>
                <w:color w:val="17365d"/>
                <w:sz w:val="26"/>
                <w:szCs w:val="26"/>
              </w:rPr>
              <w:t xml:space="preserve">правление социальной защиты населения</w:t>
            </w:r>
            <w:r>
              <w:rPr>
                <w:b/>
                <w:color w:val="17365d"/>
                <w:sz w:val="26"/>
                <w:szCs w:val="26"/>
              </w:rPr>
              <w:t xml:space="preserve"> </w:t>
            </w:r>
            <w:r>
              <w:rPr>
                <w:b/>
                <w:color w:val="17365d"/>
                <w:sz w:val="26"/>
                <w:szCs w:val="26"/>
              </w:rPr>
              <w:t xml:space="preserve">Иркутской области </w:t>
            </w:r>
            <w:r>
              <w:rPr>
                <w:b/>
                <w:color w:val="17365d"/>
                <w:sz w:val="26"/>
                <w:szCs w:val="26"/>
              </w:rPr>
              <w:t xml:space="preserve">по месту жительства</w:t>
            </w:r>
            <w:r>
              <w:rPr>
                <w:b/>
                <w:color w:val="17365d"/>
                <w:sz w:val="26"/>
                <w:szCs w:val="26"/>
              </w:rPr>
            </w:r>
            <w:r/>
          </w:p>
          <w:p>
            <w:pPr>
              <w:pStyle w:val="598"/>
              <w:ind w:left="72" w:firstLine="468"/>
              <w:jc w:val="both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3. Размер </w:t>
            </w:r>
            <w:r>
              <w:rPr>
                <w:b/>
                <w:color w:val="17365d"/>
                <w:sz w:val="26"/>
                <w:szCs w:val="26"/>
              </w:rPr>
              <w:t xml:space="preserve">выплаты</w:t>
            </w:r>
            <w:r>
              <w:rPr>
                <w:b/>
                <w:color w:val="17365d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Размер денежной компенсации определяется исходя из тариф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ов на перевозки пассажиров и багажа, установленных в соответствии с законодательством, количества представленных лицом, нахо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дившимся под попечительством, разовых проездных билетов из расчета двухразового проезда (к месту учебы и обратно), количества учебных дней в году, утвержденных базисным учебным планом и примерным учебным планом муниципальной общеобразовательной организации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/>
          </w:p>
          <w:p>
            <w:pPr>
              <w:pStyle w:val="598"/>
              <w:ind w:left="72" w:firstLine="468"/>
              <w:jc w:val="both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4</w:t>
            </w:r>
            <w:r>
              <w:rPr>
                <w:b/>
                <w:color w:val="17365d"/>
                <w:sz w:val="26"/>
                <w:szCs w:val="26"/>
              </w:rPr>
              <w:t xml:space="preserve">. Документы</w:t>
            </w:r>
            <w:r>
              <w:rPr>
                <w:b/>
                <w:color w:val="17365d"/>
                <w:sz w:val="26"/>
                <w:szCs w:val="26"/>
              </w:rPr>
              <w:t xml:space="preserve">,</w:t>
            </w:r>
            <w:r>
              <w:rPr>
                <w:b/>
                <w:color w:val="17365d"/>
                <w:sz w:val="26"/>
                <w:szCs w:val="26"/>
              </w:rPr>
              <w:t xml:space="preserve"> предоставляемые заявителем </w:t>
            </w:r>
            <w:r>
              <w:rPr>
                <w:b/>
                <w:color w:val="17365d"/>
                <w:sz w:val="26"/>
                <w:szCs w:val="26"/>
              </w:rPr>
              <w:t xml:space="preserve">в управление социальной защиты Иркутской области по месту жительства</w:t>
            </w:r>
            <w:r>
              <w:rPr>
                <w:b/>
                <w:color w:val="17365d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Заявление, </w:t>
            </w: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к которому 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прилагаются:</w:t>
            </w:r>
            <w:r/>
          </w:p>
          <w:p>
            <w:pPr>
              <w:pStyle w:val="598"/>
              <w:ind w:firstLine="540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1) паспорт или иной документ, удостоверяющий личность лица, находившегося под попечительством;</w:t>
            </w:r>
            <w:r/>
          </w:p>
          <w:p>
            <w:pPr>
              <w:pStyle w:val="598"/>
              <w:ind w:firstLine="540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2) документ, удостоверяющий личность и полномочия представителя лица, находившегося под попечительством, - в случае обращения с заявлением представителя лица, находившегося под попечительством;</w:t>
            </w:r>
            <w:r/>
          </w:p>
          <w:p>
            <w:pPr>
              <w:pStyle w:val="598"/>
              <w:ind w:firstLine="540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3) справка, выданная муниципальной общеобразовательной организацией, подтверждающая обучение лица, находившегося под попечительством;</w:t>
            </w:r>
            <w:r/>
          </w:p>
          <w:p>
            <w:pPr>
              <w:pStyle w:val="598"/>
              <w:ind w:firstLine="540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4) правовой акт органа опеки и попечительства об установлении попечительства над лицом, находившимся под попечительством;</w:t>
            </w:r>
            <w:r/>
          </w:p>
          <w:p>
            <w:pPr>
              <w:pStyle w:val="598"/>
              <w:ind w:firstLine="540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5) проездные документы, подтверждающие понесенные расходы в связи с ежедневным проездом.</w:t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5. Период выплаты </w:t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По мере предоставления документов путем перечисления денежных средств на счет лица, находившегося под попечительством, открытый в кредитной организации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567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en-US" w:bidi="ar-SA"/>
    </w:rPr>
  </w:style>
  <w:style w:type="character" w:styleId="599">
    <w:name w:val="Основной шрифт абзаца, Знак Знак Знак Знак Знак Знак Знак Знак Знак Знак Знак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Обычный (веб)"/>
    <w:basedOn w:val="598"/>
    <w:next w:val="603"/>
    <w:link w:val="598"/>
    <w:pPr>
      <w:spacing w:before="100" w:beforeAutospacing="1" w:after="100" w:afterAutospacing="1"/>
    </w:pPr>
    <w:rPr>
      <w:lang w:eastAsia="ru-RU"/>
    </w:rPr>
  </w:style>
  <w:style w:type="paragraph" w:styleId="604">
    <w:name w:val=" Знак Знак Знак Знак Знак Знак Знак Знак Знак"/>
    <w:basedOn w:val="598"/>
    <w:next w:val="604"/>
    <w:link w:val="598"/>
    <w:rPr>
      <w:rFonts w:ascii="Verdana" w:hAnsi="Verdana" w:cs="Verdana"/>
      <w:sz w:val="20"/>
      <w:szCs w:val="20"/>
      <w:lang w:val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paragraph" w:styleId="606">
    <w:name w:val=" Знак Знак Знак Знак Знак Знак1"/>
    <w:basedOn w:val="598"/>
    <w:next w:val="606"/>
    <w:link w:val="598"/>
    <w:rPr>
      <w:rFonts w:ascii="Verdana" w:hAnsi="Verdana" w:cs="Verdana"/>
      <w:sz w:val="20"/>
      <w:szCs w:val="20"/>
      <w:lang w:val="en-US"/>
    </w:rPr>
  </w:style>
  <w:style w:type="paragraph" w:styleId="607">
    <w:name w:val=" Знак Знак Знак Знак Знак Знак"/>
    <w:basedOn w:val="598"/>
    <w:next w:val="607"/>
    <w:link w:val="599"/>
    <w:rPr>
      <w:rFonts w:ascii="Verdana" w:hAnsi="Verdana" w:cs="Verdana"/>
      <w:sz w:val="20"/>
      <w:szCs w:val="20"/>
      <w:lang w:val="en-US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19</cp:revision>
  <dcterms:created xsi:type="dcterms:W3CDTF">2013-01-11T07:01:00Z</dcterms:created>
  <dcterms:modified xsi:type="dcterms:W3CDTF">2025-02-11T04:56:24Z</dcterms:modified>
  <cp:version>917504</cp:version>
</cp:coreProperties>
</file>