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целях повышения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срок не позднее 1 июня текущего года многодетный отец с ходатайством о поощрении Почетным знаком «Отцовская доблесть» обращается в ОГБУ «УСЗСОН по Чунскому району».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5-15-03</w:t>
      </w:r>
      <w:r>
        <w:rPr>
          <w:rFonts w:ascii="Times New Roman" w:hAnsi="Times New Roman" w:cs="Times New Roman"/>
          <w:b/>
          <w:bCs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  <w:lang w:val="ru-RU"/>
        </w:rPr>
        <w:t xml:space="preserve">8 964 212 82 78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  <w:lang w:val="ru-RU"/>
        </w:rPr>
      </w:r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28</cp:revision>
  <dcterms:created xsi:type="dcterms:W3CDTF">2023-02-21T05:41:00Z</dcterms:created>
  <dcterms:modified xsi:type="dcterms:W3CDTF">2025-02-11T03:50:13Z</dcterms:modified>
</cp:coreProperties>
</file>