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03"/>
        <w:gridCol w:w="6637"/>
      </w:tblGrid>
      <w:tr>
        <w:trPr>
          <w:trHeight w:val="2516"/>
        </w:trPr>
        <w:tc>
          <w:tcPr>
            <w:tcW w:w="3803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47975" cy="213598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47975" cy="21359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4.2pt;height:168.2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63242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предоставлении денежной компенсации расходов, связанных с изготовлением и ремонтом зубных протезов (кроме расходов на оплату стои</w:t>
            </w:r>
            <w:r>
              <w:rPr>
                <w:sz w:val="26"/>
                <w:szCs w:val="26"/>
              </w:rPr>
              <w:t xml:space="preserve">мости драгоценных металлов и металлокерамики), инвалидам Великой Отечественной войны и инвалидам боевых действий, ветеранам Великой Отечественной войны, вдов погибших (умерших) инвалидов Великой Отечественной войны и участников Великой Отечественной войны"</w:t>
            </w:r>
            <w:r>
              <w:rPr>
                <w:b/>
                <w:color w:val="632423"/>
                <w:sz w:val="26"/>
                <w:szCs w:val="26"/>
              </w:rPr>
            </w:r>
            <w:r/>
          </w:p>
        </w:tc>
      </w:tr>
    </w:tbl>
    <w:p>
      <w:pPr>
        <w:pStyle w:val="598"/>
        <w:jc w:val="center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  <w:t xml:space="preserve">Приказ Министерства социального развития, опеки и попечительства </w:t>
      </w:r>
      <w:r>
        <w:rPr>
          <w:rFonts w:ascii="Times New Roman CYR" w:hAnsi="Times New Roman CYR" w:cs="Times New Roman CYR"/>
          <w:b/>
          <w:bCs/>
          <w:color w:val="26282f"/>
        </w:rPr>
      </w:r>
      <w:r/>
    </w:p>
    <w:p>
      <w:pPr>
        <w:pStyle w:val="598"/>
        <w:jc w:val="center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  <w:t xml:space="preserve">Иркутской области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 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от 20 октября 2014 г. N 169-МПР</w:t>
        <w:br w:type="textWrapping" w:clear="all"/>
        <w:t xml:space="preserve">"Об утверждении Положения о предоставлении денежной компенсации расходов, связанных с изготовлением и ремонтом зубных протезов (кроме расходов на оплату стои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мости драгоценных металлов и металлокерамики), инвалидам Великой Отечественной войны и инвалидам боевых действий, ветеранам Великой Отечественной войны, вдов погибших (умерших) инвалидов Великой Отечественной войны и участников Великой Отечественной войны"</w:t>
      </w:r>
      <w:r/>
    </w:p>
    <w:tbl>
      <w:tblPr>
        <w:tblW w:w="10065" w:type="dxa"/>
        <w:tblInd w:w="-318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</w:t>
            </w:r>
            <w:r>
              <w:rPr>
                <w:rFonts w:ascii="Times New Roman CYR" w:hAnsi="Times New Roman CYR" w:cs="Times New Roman CYR"/>
              </w:rPr>
              <w:t xml:space="preserve">) инвалиды Великой Отечественной войны;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0" w:name="sub_932"/>
            <w:r>
              <w:rPr>
                <w:rFonts w:ascii="Times New Roman CYR" w:hAnsi="Times New Roman CYR" w:cs="Times New Roman CYR"/>
              </w:rPr>
              <w:t xml:space="preserve">2) инвалиды боевых действий;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0"/>
            <w:r/>
            <w:bookmarkStart w:id="1" w:name="sub_933"/>
            <w:r>
              <w:rPr>
                <w:rFonts w:ascii="Times New Roman CYR" w:hAnsi="Times New Roman CYR" w:cs="Times New Roman CYR"/>
              </w:rPr>
              <w:t xml:space="preserve">3) ветераны Великой Отечественной войны;</w:t>
            </w:r>
            <w:r/>
          </w:p>
          <w:p>
            <w:pPr>
              <w:pStyle w:val="598"/>
              <w:jc w:val="both"/>
              <w:widowControl w:val="off"/>
              <w:rPr>
                <w:sz w:val="16"/>
                <w:szCs w:val="16"/>
              </w:rPr>
            </w:pPr>
            <w:r/>
            <w:bookmarkEnd w:id="1"/>
            <w:r/>
            <w:bookmarkStart w:id="2" w:name="sub_934"/>
            <w:r>
              <w:rPr>
                <w:rFonts w:ascii="Times New Roman CYR" w:hAnsi="Times New Roman CYR" w:cs="Times New Roman CYR"/>
              </w:rPr>
              <w:t xml:space="preserve">4) вдовы погибших (умерших) инвалидов Великой Отечественной войны и участников Великой Отечественной войны.</w:t>
            </w:r>
            <w:bookmarkEnd w:id="2"/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Денежная компенсация предоставляется заявителям, самостоятельно воспользовавшимися услугами по изготовлению и ремонту зубных протезов (кроме расходов на оплату стоимости драгоц</w:t>
            </w:r>
            <w:r>
              <w:rPr>
                <w:rFonts w:ascii="Times New Roman CYR" w:hAnsi="Times New Roman CYR" w:cs="Times New Roman CYR"/>
              </w:rPr>
              <w:t xml:space="preserve">енных металлов и металлокерамики) в медицинских организациях государственной или муниципальной системы здравоохранения, имеющих лицензию на осуществление медицинской деятельности, предусматривающей выполнение работ (услуг) по "стоматологии ортопедической".</w:t>
            </w:r>
            <w:r/>
          </w:p>
          <w:p>
            <w:pPr>
              <w:pStyle w:val="598"/>
              <w:jc w:val="both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            </w:t>
            </w:r>
            <w:r>
              <w:rPr>
                <w:rFonts w:ascii="Times New Roman CYR" w:hAnsi="Times New Roman CYR" w:cs="Times New Roman CYR"/>
              </w:rPr>
              <w:t xml:space="preserve">Денежная компенсация </w:t>
            </w:r>
            <w:r>
              <w:rPr>
                <w:rFonts w:ascii="Times New Roman CYR" w:hAnsi="Times New Roman CYR" w:cs="Times New Roman CYR"/>
              </w:rPr>
              <w:t xml:space="preserve">предоставляется заявителям один раз в год при условии, что обращение за ней последовало не позднее двух месяцев с момента произведения оплаты услуг по изготовлению и ремонту зубных протезов</w:t>
            </w:r>
            <w:r>
              <w:rPr>
                <w:rFonts w:ascii="Times New Roman CYR" w:hAnsi="Times New Roman CYR" w:cs="Times New Roman CYR"/>
              </w:rPr>
              <w:t xml:space="preserve">.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Размер и условия предоставления выплаты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</w:pPr>
            <w:r>
              <w:rPr>
                <w:rFonts w:ascii="Times New Roman CYR" w:hAnsi="Times New Roman CYR" w:cs="Times New Roman CYR"/>
              </w:rPr>
              <w:t xml:space="preserve">Денежная компенса</w:t>
            </w:r>
            <w:r>
              <w:rPr>
                <w:rFonts w:ascii="Times New Roman CYR" w:hAnsi="Times New Roman CYR" w:cs="Times New Roman CYR"/>
              </w:rPr>
              <w:t xml:space="preserve">ция предоставляется в размере 50 процентов расходов заявителя по оплате услуг по изготовлению и ремонту зубных протезов (кроме расходов на оплату стоимости драгоценных металлов и металлокерамики), определенных на основании представляемого в соответствии с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"sub_96"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пунктом 6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настоящего Положения документа, подтверждающего размер произведенных расходов, но не более 20 000 рублей.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/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sz w:val="23"/>
                <w:szCs w:val="23"/>
              </w:rPr>
              <w:outlineLvl w:val="1"/>
            </w:pPr>
            <w:r>
              <w:rPr>
                <w:sz w:val="23"/>
                <w:szCs w:val="23"/>
              </w:rPr>
              <w:t xml:space="preserve">В управление социальной защиты населения по мес</w:t>
            </w:r>
            <w:r>
              <w:rPr>
                <w:sz w:val="23"/>
                <w:szCs w:val="23"/>
              </w:rPr>
              <w:t xml:space="preserve">ту жительства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598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Документы, </w:t>
            </w:r>
            <w:r>
              <w:rPr>
                <w:sz w:val="23"/>
                <w:szCs w:val="23"/>
              </w:rPr>
              <w:t xml:space="preserve">необходимые для предоставления компенсации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Start w:id="3" w:name="sub_961"/>
            <w:r>
              <w:rPr>
                <w:rFonts w:ascii="Times New Roman CYR" w:hAnsi="Times New Roman CYR" w:cs="Times New Roman CYR"/>
              </w:rPr>
              <w:t xml:space="preserve">1) паспорт или иной документ, удостоверяющий личность заявителя;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3"/>
            <w:r/>
            <w:bookmarkStart w:id="4" w:name="sub_962"/>
            <w:r>
              <w:rPr>
                <w:rFonts w:ascii="Times New Roman CYR" w:hAnsi="Times New Roman CYR" w:cs="Times New Roman CYR"/>
              </w:rPr>
              <w:t xml:space="preserve">2) паспорт или иной документ, удостоверяющий личность представителя заявителя (в случае подачи заявления представителем заявителя);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4"/>
            <w:r/>
            <w:bookmarkStart w:id="5" w:name="sub_963"/>
            <w:r>
              <w:rPr>
                <w:rFonts w:ascii="Times New Roman CYR" w:hAnsi="Times New Roman CYR" w:cs="Times New Roman CYR"/>
              </w:rPr>
              <w:t xml:space="preserve">3) документ, подтверждающий отнесение заявителя к категории граждан, указанной в </w:t>
            </w:r>
            <w:r>
              <w:rPr>
                <w:rFonts w:ascii="Times New Roman CYR" w:hAnsi="Times New Roman CYR" w:cs="Times New Roman CYR"/>
              </w:rPr>
              <w:fldChar w:fldCharType="begin"/>
            </w:r>
            <w:r>
              <w:rPr>
                <w:rFonts w:ascii="Times New Roman CYR" w:hAnsi="Times New Roman CYR" w:cs="Times New Roman CYR"/>
              </w:rPr>
              <w:instrText xml:space="preserve">HYPERLINK \l "sub_93"</w:instrText>
            </w:r>
            <w:r>
              <w:rPr>
                <w:rFonts w:ascii="Times New Roman CYR" w:hAnsi="Times New Roman CYR" w:cs="Times New Roman CYR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</w:rPr>
              <w:t xml:space="preserve">пункте 3</w:t>
            </w:r>
            <w:r>
              <w:rPr>
                <w:rFonts w:ascii="Times New Roman CYR" w:hAnsi="Times New Roman CYR" w:cs="Times New Roman CYR"/>
              </w:rPr>
              <w:fldChar w:fldCharType="end"/>
            </w:r>
            <w:r>
              <w:rPr>
                <w:rFonts w:ascii="Times New Roman CYR" w:hAnsi="Times New Roman CYR" w:cs="Times New Roman CYR"/>
              </w:rPr>
              <w:t xml:space="preserve"> настоящего Положения;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/>
            <w:bookmarkEnd w:id="5"/>
            <w:r>
              <w:rPr>
                <w:rFonts w:ascii="Times New Roman CYR" w:hAnsi="Times New Roman CYR" w:cs="Times New Roman CYR"/>
              </w:rPr>
              <w:t xml:space="preserve">4) копия лицензии медицинской организации на осуществление медицинской деятельно</w:t>
            </w:r>
            <w:r>
              <w:rPr>
                <w:rFonts w:ascii="Times New Roman CYR" w:hAnsi="Times New Roman CYR" w:cs="Times New Roman CYR"/>
              </w:rPr>
              <w:t xml:space="preserve">сти, предусматривающей выполнение работ (услуг) по "стоматологии ортопедической", заверенная руководителем медицинской организации либо нотариусом или должностным лицом, уполномоченным в соответствии с законодательством на совершение нотариальных действий;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5) документ, подтверждающий размер расходов заявителя по оплате услуг по изготовлению и ремонту зубных протезов (кроме расходов на оплату стоимости драгоценных металлов и металлокерамики) (квитанция об оплате, договор, наряд-заказ).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39" w:right="70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paragraph" w:styleId="599">
    <w:name w:val="Заголовок 1"/>
    <w:basedOn w:val="598"/>
    <w:next w:val="598"/>
    <w:link w:val="607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600">
    <w:name w:val="Основной шрифт абзаца, Знак Знак Знак Знак Знак Знак Знак Знак"/>
    <w:next w:val="600"/>
    <w:link w:val="604"/>
    <w:semiHidden/>
  </w:style>
  <w:style w:type="table" w:styleId="601">
    <w:name w:val="Обычная таблица"/>
    <w:next w:val="601"/>
    <w:link w:val="598"/>
    <w:semiHidden/>
    <w:tblPr/>
  </w:style>
  <w:style w:type="numbering" w:styleId="602">
    <w:name w:val="Нет списка"/>
    <w:next w:val="602"/>
    <w:link w:val="598"/>
    <w:semiHidden/>
  </w:style>
  <w:style w:type="table" w:styleId="603">
    <w:name w:val="Сетка таблицы"/>
    <w:basedOn w:val="601"/>
    <w:next w:val="603"/>
    <w:link w:val="598"/>
    <w:tblPr/>
  </w:style>
  <w:style w:type="paragraph" w:styleId="604">
    <w:name w:val=" Знак Знак Знак Знак Знак Знак"/>
    <w:basedOn w:val="598"/>
    <w:next w:val="604"/>
    <w:link w:val="600"/>
    <w:rPr>
      <w:rFonts w:ascii="Verdana" w:hAnsi="Verdana" w:cs="Verdana"/>
      <w:sz w:val="20"/>
      <w:szCs w:val="20"/>
      <w:lang w:val="en-US" w:eastAsia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character" w:styleId="606">
    <w:name w:val="Гиперссылка"/>
    <w:next w:val="606"/>
    <w:link w:val="598"/>
    <w:rPr>
      <w:color w:val="0000ff"/>
      <w:u w:val="single"/>
    </w:rPr>
  </w:style>
  <w:style w:type="character" w:styleId="607">
    <w:name w:val="Заголовок 1 Знак"/>
    <w:next w:val="607"/>
    <w:link w:val="599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608">
    <w:name w:val="Гипертекстовая ссылка"/>
    <w:next w:val="608"/>
    <w:link w:val="598"/>
    <w:uiPriority w:val="99"/>
    <w:rPr>
      <w:color w:val="106bbe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26</cp:revision>
  <dcterms:created xsi:type="dcterms:W3CDTF">2014-12-23T09:45:00Z</dcterms:created>
  <dcterms:modified xsi:type="dcterms:W3CDTF">2025-02-11T06:18:02Z</dcterms:modified>
  <cp:version>983040</cp:version>
</cp:coreProperties>
</file>