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b/>
          <w:color w:val="800080"/>
          <w:sz w:val="26"/>
          <w:szCs w:val="26"/>
        </w:rPr>
      </w:pPr>
      <w:r>
        <w:rPr>
          <w:b/>
          <w:color w:val="800080"/>
          <w:sz w:val="26"/>
          <w:szCs w:val="26"/>
        </w:rPr>
      </w:r>
      <w:r/>
    </w:p>
    <w:tbl>
      <w:tblPr>
        <w:tblW w:w="10260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41"/>
        <w:gridCol w:w="591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0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80"/>
                <w:sz w:val="26"/>
                <w:szCs w:val="26"/>
              </w:rPr>
            </w:pPr>
            <w:r>
              <w:rPr>
                <w:b/>
                <w:color w:val="800080"/>
                <w:sz w:val="26"/>
                <w:szCs w:val="26"/>
              </w:rPr>
              <w:fldChar w:fldCharType="begin"/>
            </w:r>
            <w:r>
              <w:rPr>
                <w:b/>
                <w:color w:val="800080"/>
                <w:sz w:val="26"/>
                <w:szCs w:val="26"/>
              </w:rPr>
              <w:instrText xml:space="preserve"> SHAPE  \* MERGEFORMAT </w:instrText>
            </w:r>
            <w:r>
              <w:rPr>
                <w:b/>
                <w:color w:val="800080"/>
                <w:sz w:val="26"/>
                <w:szCs w:val="26"/>
              </w:rPr>
              <w:fldChar w:fldCharType="separate"/>
            </w:r>
            <w:r>
              <w:rPr>
                <w:b/>
                <w:color w:val="800080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01265" cy="1694815"/>
                      <wp:effectExtent l="0" t="0" r="0" b="0"/>
                      <wp:docPr id="1" name="_x0000_s103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01265" cy="169481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000099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6.9pt;height:133.4pt;mso-wrap-distance-left:0.0pt;mso-wrap-distance-top:0.0pt;mso-wrap-distance-right:0.0pt;mso-wrap-distance-bottom:0.0pt;" strokecolor="#000099" strokeweight="4.50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b/>
                <w:color w:val="800080"/>
                <w:sz w:val="26"/>
                <w:szCs w:val="26"/>
              </w:rPr>
              <w:fldChar w:fldCharType="end"/>
            </w:r>
            <w:r>
              <w:rPr>
                <w:b/>
                <w:color w:val="800080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40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ПАМЯТКА </w:t>
            </w:r>
            <w:r/>
          </w:p>
          <w:p>
            <w:pPr>
              <w:pStyle w:val="59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единовременное пособие</w:t>
            </w:r>
            <w:r/>
          </w:p>
          <w:p>
            <w:pPr>
              <w:pStyle w:val="59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при возникновении поствакцинальных осложнений, вызванными профилактическими прививками</w:t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</w:r>
            <w:r/>
          </w:p>
          <w:p>
            <w:pPr>
              <w:pStyle w:val="598"/>
              <w:jc w:val="center"/>
              <w:rPr>
                <w:b/>
                <w:color w:val="800080"/>
                <w:sz w:val="26"/>
                <w:szCs w:val="26"/>
              </w:rPr>
            </w:pPr>
            <w:r>
              <w:rPr>
                <w:b/>
                <w:color w:val="800080"/>
                <w:sz w:val="26"/>
                <w:szCs w:val="26"/>
              </w:rPr>
            </w:r>
            <w:r/>
          </w:p>
        </w:tc>
      </w:tr>
    </w:tbl>
    <w:p>
      <w:pPr>
        <w:pStyle w:val="598"/>
        <w:jc w:val="center"/>
        <w:rPr>
          <w:b/>
          <w:color w:val="800080"/>
          <w:sz w:val="26"/>
          <w:szCs w:val="26"/>
        </w:rPr>
      </w:pPr>
      <w:r>
        <w:rPr>
          <w:b/>
          <w:color w:val="800080"/>
          <w:sz w:val="26"/>
          <w:szCs w:val="26"/>
        </w:rPr>
      </w:r>
      <w:r/>
    </w:p>
    <w:p>
      <w:pPr>
        <w:pStyle w:val="598"/>
        <w:jc w:val="center"/>
        <w:rPr>
          <w:b/>
          <w:color w:val="800080"/>
          <w:sz w:val="28"/>
          <w:szCs w:val="28"/>
        </w:rPr>
      </w:pPr>
      <w:r>
        <w:rPr>
          <w:b/>
          <w:color w:val="800080"/>
          <w:sz w:val="28"/>
          <w:szCs w:val="28"/>
        </w:rPr>
        <w:t xml:space="preserve">В соответствии с Федеральным Законом от </w:t>
      </w:r>
      <w:r>
        <w:rPr>
          <w:b/>
          <w:color w:val="800080"/>
          <w:sz w:val="28"/>
          <w:szCs w:val="28"/>
        </w:rPr>
        <w:t xml:space="preserve">17.09.1998</w:t>
      </w:r>
      <w:r>
        <w:rPr>
          <w:b/>
          <w:color w:val="800080"/>
          <w:sz w:val="28"/>
          <w:szCs w:val="28"/>
        </w:rPr>
        <w:t xml:space="preserve"> г. № </w:t>
      </w:r>
      <w:r>
        <w:rPr>
          <w:b/>
          <w:color w:val="800080"/>
          <w:sz w:val="28"/>
          <w:szCs w:val="28"/>
        </w:rPr>
        <w:t xml:space="preserve">157-ФЗ</w:t>
      </w:r>
      <w:r>
        <w:rPr>
          <w:b/>
          <w:color w:val="800080"/>
          <w:sz w:val="28"/>
          <w:szCs w:val="28"/>
        </w:rPr>
      </w:r>
      <w:r/>
    </w:p>
    <w:p>
      <w:pPr>
        <w:pStyle w:val="598"/>
        <w:jc w:val="center"/>
        <w:rPr>
          <w:b/>
          <w:color w:val="800080"/>
          <w:sz w:val="28"/>
          <w:szCs w:val="28"/>
        </w:rPr>
      </w:pPr>
      <w:r>
        <w:rPr>
          <w:b/>
          <w:color w:val="800080"/>
          <w:sz w:val="28"/>
          <w:szCs w:val="28"/>
        </w:rPr>
        <w:t xml:space="preserve">«</w:t>
      </w:r>
      <w:r>
        <w:rPr>
          <w:b/>
          <w:color w:val="800080"/>
          <w:sz w:val="28"/>
          <w:szCs w:val="28"/>
        </w:rPr>
        <w:t xml:space="preserve">Об иммунопрофилактике инфекционных болезней</w:t>
      </w:r>
      <w:r>
        <w:rPr>
          <w:b/>
          <w:color w:val="800080"/>
          <w:sz w:val="28"/>
          <w:szCs w:val="28"/>
        </w:rPr>
        <w:t xml:space="preserve">»</w:t>
      </w:r>
      <w:r>
        <w:rPr>
          <w:b/>
          <w:color w:val="800080"/>
          <w:sz w:val="28"/>
          <w:szCs w:val="28"/>
        </w:rPr>
      </w:r>
      <w:r/>
    </w:p>
    <w:tbl>
      <w:tblPr>
        <w:tblpPr w:horzAnchor="page" w:tblpX="1464" w:vertAnchor="page" w:tblpY="5325" w:leftFromText="180" w:topFromText="0" w:rightFromText="180" w:bottomFromText="0"/>
        <w:tblW w:w="1000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f2dbdb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88"/>
        <w:gridCol w:w="7020"/>
      </w:tblGrid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1. Категория граждан, имеющая право на получение </w:t>
            </w:r>
            <w:r>
              <w:rPr>
                <w:color w:val="000080"/>
                <w:sz w:val="27"/>
                <w:szCs w:val="27"/>
              </w:rPr>
              <w:t xml:space="preserve">единовременного пособия при возникновении </w:t>
            </w:r>
            <w:r>
              <w:rPr>
                <w:color w:val="000080"/>
                <w:sz w:val="27"/>
                <w:szCs w:val="27"/>
              </w:rPr>
              <w:t xml:space="preserve">у них поствакцинальных</w:t>
            </w:r>
            <w:r>
              <w:rPr>
                <w:color w:val="000080"/>
                <w:sz w:val="27"/>
                <w:szCs w:val="27"/>
              </w:rPr>
              <w:t xml:space="preserve"> осложнени</w:t>
            </w:r>
            <w:r>
              <w:rPr>
                <w:color w:val="000080"/>
                <w:sz w:val="27"/>
                <w:szCs w:val="27"/>
              </w:rPr>
              <w:t xml:space="preserve">й</w:t>
            </w:r>
            <w:r>
              <w:rPr>
                <w:color w:val="000080"/>
                <w:sz w:val="27"/>
                <w:szCs w:val="27"/>
              </w:rPr>
              <w:t xml:space="preserve">, вызванными профилактическими прививками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</w:rPr>
              <w:t xml:space="preserve">граждане, у которых установлено наличие поствакцинального осложнения</w:t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- члены семьи гражданина в случае его смерти, наступившей вследствие поствакцинального осложнения</w:t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2. Куда обращаться</w:t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 xml:space="preserve">управление социальной защиты населения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 xml:space="preserve">Иркутской области </w:t>
            </w:r>
            <w:r>
              <w:rPr>
                <w:color w:val="000080"/>
                <w:sz w:val="27"/>
                <w:szCs w:val="27"/>
              </w:rPr>
              <w:t xml:space="preserve">по месту жительства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3. Размер пособия </w:t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  <w:outlineLvl w:val="1"/>
            </w:pPr>
            <w:r>
              <w:rPr>
                <w:color w:val="000080"/>
                <w:sz w:val="27"/>
                <w:szCs w:val="27"/>
              </w:rPr>
              <w:t xml:space="preserve">10 000 рублей </w:t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4. Документы, предоставляемые заявителем в управление министерства социального развития, опеки и попечительства Иркутской области по месту жительства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 xml:space="preserve">а) заявление о назначении и выплате пособия;</w:t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 xml:space="preserve">б) документы, подтверждающие факт поствакцинального осложнения (заключение об установлении факта поствакцинального осложнения; свидетельство о смерти).</w:t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598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5. </w:t>
            </w:r>
            <w:r>
              <w:rPr>
                <w:color w:val="000080"/>
                <w:sz w:val="27"/>
                <w:szCs w:val="27"/>
              </w:rPr>
              <w:t xml:space="preserve">Периодичность выплаты</w:t>
            </w:r>
            <w:r>
              <w:rPr>
                <w:color w:val="00008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Единовременно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598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284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tBookC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en-US" w:bidi="ar-SA"/>
    </w:rPr>
  </w:style>
  <w:style w:type="character" w:styleId="599">
    <w:name w:val="Основной шрифт абзаца, Знак Знак Знак Знак Знак Знак1 Знак Знак Знак Знак Знак Знак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Обычный (веб)"/>
    <w:basedOn w:val="598"/>
    <w:next w:val="603"/>
    <w:link w:val="598"/>
    <w:pPr>
      <w:spacing w:before="100" w:beforeAutospacing="1" w:after="100" w:afterAutospacing="1"/>
    </w:pPr>
    <w:rPr>
      <w:lang w:eastAsia="ru-RU"/>
    </w:rPr>
  </w:style>
  <w:style w:type="paragraph" w:styleId="604">
    <w:name w:val=" Знак Знак Знак Знак Знак Знак1 Знак Знак Знак Знак"/>
    <w:basedOn w:val="598"/>
    <w:next w:val="604"/>
    <w:link w:val="598"/>
    <w:rPr>
      <w:rFonts w:ascii="Verdana" w:hAnsi="Verdana" w:cs="Verdana"/>
      <w:sz w:val="20"/>
      <w:szCs w:val="20"/>
      <w:lang w:val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paragraph" w:styleId="606">
    <w:name w:val="&lt;0442&gt;&lt;0435&gt;&lt;043A&gt;&lt;0441&gt;&lt;0442&gt;"/>
    <w:basedOn w:val="598"/>
    <w:next w:val="606"/>
    <w:link w:val="598"/>
    <w:pPr>
      <w:ind w:firstLine="227"/>
      <w:jc w:val="both"/>
      <w:spacing w:line="220" w:lineRule="atLeast"/>
    </w:pPr>
    <w:rPr>
      <w:rFonts w:ascii="TextBookC" w:hAnsi="TextBookC" w:cs="TextBookC"/>
      <w:color w:val="000000"/>
      <w:sz w:val="16"/>
      <w:szCs w:val="16"/>
      <w:lang w:eastAsia="ru-RU"/>
    </w:rPr>
  </w:style>
  <w:style w:type="paragraph" w:styleId="607">
    <w:name w:val=" Знак Знак Знак"/>
    <w:basedOn w:val="598"/>
    <w:next w:val="607"/>
    <w:link w:val="599"/>
    <w:rPr>
      <w:rFonts w:ascii="Verdana" w:hAnsi="Verdana" w:cs="Verdana"/>
      <w:sz w:val="20"/>
      <w:szCs w:val="20"/>
      <w:lang w:val="en-US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3</cp:revision>
  <dcterms:created xsi:type="dcterms:W3CDTF">2013-02-01T06:29:00Z</dcterms:created>
  <dcterms:modified xsi:type="dcterms:W3CDTF">2025-02-11T04:25:12Z</dcterms:modified>
  <cp:version>917504</cp:version>
</cp:coreProperties>
</file>