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Style w:val="642"/>
        <w:ind w:left="0" w:right="0" w:firstLine="0"/>
        <w:jc w:val="center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Конкурс по развитию личного подсобного хозяйства «Лучшая семейная усадьба» 2024</w:t>
      </w:r>
      <w:r/>
    </w:p>
    <w:p>
      <w:pPr>
        <w:ind w:left="0" w:right="0" w:firstLine="708"/>
        <w:jc w:val="both"/>
        <w:spacing w:before="240" w:after="24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71750" cy="16954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476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71750" cy="1695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2.5pt;height:133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0" w:right="0" w:firstLine="708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 15 июля 2024 года ОГБУ «Управление социальной защиты и социального обслуживания населения по Чунскому району» принимает заявления от многодетных семей на участие в конкурсе по развитию личного подсобного хозяйства «ЛУЧШАЯ СЕМЕЙНАЯ УСАДЬБА»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ЦЕЛЬ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поддержка многодетных семей, развитие экономической самостоятельности семьи, повышение ценности семейного образа жизни, сохранение духовно-нравственных традиций в семейных отношениях и семейном воспитании.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ОРГАНИЗАТОРЫ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Министерство социального развития, опеки и попечительства Иркутской области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УЧАСТНИКИ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воспитывающие пять и более детей, в числе которых не менее трех детей не достигли возраста 18 лет, в том числе воспитывающие детей-сирот и детей, оставшихся без попечения родителей, (далее — многодетная семья), ведущие личное подсобное хозяйство на приусад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ебном земельном участке, садовом земельном участке, находящемся у многодетной семьи в собственности, либо садовом земельном участке, расположенном в границах территории ведения гражданами садоводства, если члены многодетной семьи либо один или несколько чл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енов многодетной семьи являются членами садоводческого некоммерческого товарищества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Участники, ставшие победителями конкурса, могут повторно принять участие в конкурсе не ранее чем через три года.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УСЛОВИЯ ПРОВЕДЕНИЯ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 этап: проводится ОГБУ «Управление социальной защиты и социального обслуживания населения по Чунскому району» до 25 июля 2024 года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Многодетные семьи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Чунского района, желающие принять участие в конкурсе,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подают в конкурсную комиссию ОГБУ «УСЗСОН по Чунскому району» (рп. Чунский, ул. Фрунзе, 15Б, каб.12) заявление на участие. </w:t>
      </w:r>
      <w:r>
        <w:rPr>
          <w:rFonts w:ascii="Times New Roman" w:hAnsi="Times New Roman" w:eastAsia="Times New Roman" w:cs="Times New Roman"/>
          <w:b/>
          <w:color w:val="000000"/>
          <w:sz w:val="24"/>
          <w:u w:val="single"/>
        </w:rPr>
        <w:t xml:space="preserve">К нему прилагаются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копия паспорта родителя (родителей), законного представителя детей, с отметкой о регистрации по месту жительства на территории Иркутской области;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решение суда об установлении факта постоянного или преимущественного проживания на территории Иркутской области — в случае отсутствия в паспорте отметки о регистрации по месту жительства на территории Иркутской области;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документы, подтвержд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ающие полномочия законного представителя — в случае обращения законного представителя детей;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свидетельства о рождении детей, нотариально удостоверенный перевод свидетельств о рождении детей на русский язык, в случае если эти свидетельства выданы компетентными органами иностранного государства; паспорта детей, достигших возраста 14 лет;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5) справка о составе семьи;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6) копия выписки из Единого государственного реестра недвижимости об объектах недвижимости, удостоверяющей государственную регистрацию права участников на объект недвижимости (приусадебный земельный участок, садовый земельный участок, жилой дом, садовый до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м), находящийся полностью или частично в собственности участников, выданной не ранее чем за 30 рабочих дней до подачи заявления на участие в конкурсе.</w:t>
      </w:r>
      <w:r>
        <w:rPr>
          <w:sz w:val="27"/>
          <w:szCs w:val="27"/>
        </w:rPr>
      </w:r>
    </w:p>
    <w:p>
      <w:pPr>
        <w:ind w:left="0" w:right="0" w:firstLine="708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В случае, если права на садовый земельный участок, садовый дом не зарегистрированы в Едином государственном реестре недвижимости, к заявлению прилагаются: правоустанавливающие документы на садовый земельный участок; документ, подтверждающий членство участн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ика в садоводческом некоммерческом товариществе; документ, подтверждающий принятие общим собранием членов садоводческого некоммерческого товарищества решения о распределении садового земельного участка участнику.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7) характеристика семьи, выданная органом опеки и попечительства по месту жительства (месту пребывания) семьи, — для семей, имеющих детей, принятых под опеку или попечительство;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8) материалы, подтверждающие вклад родителей (законных представителей), в воспитание и развитие детей, укрепление семейных традиций (характеристики глав муниципальных образований, председателей садоводческого или огороднического некоммерческого товариществ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а, соседей, благодарственные письма, грамоты, дипломы, свидетельства, фото и видеоматериалы) (при наличии).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Заявление и документы должны быть поданы не позднее 15 июля 2024 года.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Конкурсная комиссия в течение 10 рабочих дней со дня окончания приема документов на участие в конкурсе проводит оценку усадьбы, в которой проживает многодетная семья, и оформляет протокол. В срок до 28 июля текущего года документы в электронном виде переда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ются управлением в министерство.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II этап: проводится министерством социального развития, опеки и попечительства Иркутской области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Конкурсная комиссия министерства определяет победителей конкурса, набравших максимальное количество баллов по отношению к остальным многодетным семьям.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По итогам конкурса победители и участники, занявшие поощрительные места, получают социальные выплаты в следующих размерах: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Победители конкурса и участники конкурса, занявшие поощрительные места, получают социальные выплаты в следующих размерах: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садовая усадьба»: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— 150 000 (сто пятьдесят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— 120 000 (сто двадцать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— 80 000 (восемьдесят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4-5 поощрительные места, — 50 000 (пятьдесят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городская усадьба»: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200 000 (двести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150 000 (сто пятьдесят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100 000 (сто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4-10 поощрительные места, — 50 000 (пятьдесят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сельская усадьба»: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— 250 000 (двести пятьдесят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— 200 000 (двести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— 150 000 (сто пятьдесят тысяч) рублей;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4-11 поощрительные места, — 50 000 (пятьдесят тысяч) рублей.</w:t>
      </w:r>
      <w:r>
        <w:rPr>
          <w:sz w:val="27"/>
          <w:szCs w:val="27"/>
        </w:rPr>
      </w:r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Телефон ОГБУ «УСЗСОН по Чунскому району»: </w:t>
      </w:r>
      <w:r>
        <w:rPr>
          <w:rFonts w:ascii="Times New Roman" w:hAnsi="Times New Roman" w:eastAsia="Times New Roman" w:cs="Times New Roman"/>
          <w:b/>
          <w:color w:val="000000"/>
          <w:sz w:val="27"/>
          <w:szCs w:val="27"/>
          <w:u w:val="single"/>
        </w:rPr>
        <w:t xml:space="preserve">8(3963) 5-15-02.</w:t>
      </w:r>
      <w:r>
        <w:rPr>
          <w:sz w:val="27"/>
          <w:szCs w:val="27"/>
        </w:rPr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22</cp:revision>
  <dcterms:created xsi:type="dcterms:W3CDTF">2018-07-26T08:24:00Z</dcterms:created>
  <dcterms:modified xsi:type="dcterms:W3CDTF">2024-03-05T01:41:27Z</dcterms:modified>
</cp:coreProperties>
</file>