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116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32"/>
        <w:gridCol w:w="3908"/>
      </w:tblGrid>
      <w:tr>
        <w:trPr>
          <w:trHeight w:val="2516"/>
        </w:trPr>
        <w:tc>
          <w:tcPr>
            <w:tcW w:w="6532" w:type="dxa"/>
            <w:vAlign w:val="top"/>
            <w:textDirection w:val="lrTb"/>
            <w:noWrap w:val="false"/>
          </w:tcPr>
          <w:p>
            <w:pPr>
              <w:pStyle w:val="598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75127" cy="1626565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75127" cy="162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42.1pt;height:128.1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3908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287f13"/>
                <w:sz w:val="28"/>
                <w:szCs w:val="28"/>
              </w:rPr>
            </w:pPr>
            <w:r>
              <w:rPr>
                <w:b/>
                <w:color w:val="287f13"/>
                <w:sz w:val="28"/>
                <w:szCs w:val="28"/>
              </w:rPr>
              <w:t xml:space="preserve">ПАМЯТКА </w:t>
            </w:r>
            <w:r>
              <w:rPr>
                <w:b/>
                <w:color w:val="287f13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</w:r>
            <w:r/>
          </w:p>
          <w:p>
            <w:pPr>
              <w:pStyle w:val="598"/>
              <w:jc w:val="center"/>
              <w:rPr>
                <w:b/>
                <w:color w:val="632423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"http://internet.garant.ru/document?id=34672035&amp;sub=0"</w:instrText>
            </w:r>
            <w:r>
              <w:fldChar w:fldCharType="separate"/>
            </w:r>
            <w:r>
              <w:rPr>
                <w:rStyle w:val="608"/>
                <w:b/>
                <w:bCs/>
                <w:sz w:val="28"/>
                <w:szCs w:val="28"/>
              </w:rPr>
              <w:t xml:space="preserve">Об обеспечении в 2016 - 2020 годах ветеранов труда</w:t>
            </w:r>
            <w:r>
              <w:rPr>
                <w:rStyle w:val="608"/>
                <w:b/>
                <w:bCs/>
                <w:sz w:val="28"/>
                <w:szCs w:val="28"/>
              </w:rPr>
              <w:t xml:space="preserve">, ветеранов труда Иркутской области</w:t>
            </w:r>
            <w:r>
              <w:rPr>
                <w:rStyle w:val="608"/>
                <w:b/>
                <w:bCs/>
                <w:sz w:val="28"/>
                <w:szCs w:val="28"/>
              </w:rPr>
              <w:t xml:space="preserve"> в Иркутской области путевками на санаторно-курортное лечение" 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b/>
                <w:color w:val="632423"/>
                <w:sz w:val="28"/>
                <w:szCs w:val="28"/>
              </w:rPr>
            </w:r>
            <w:r/>
          </w:p>
        </w:tc>
      </w:tr>
    </w:tbl>
    <w:p>
      <w:pPr>
        <w:pStyle w:val="598"/>
        <w:jc w:val="center"/>
        <w:widowControl w:val="off"/>
        <w:rPr>
          <w:rFonts w:ascii="Times New Roman CYR" w:hAnsi="Times New Roman CYR" w:cs="Times New Roman CYR"/>
          <w:b/>
          <w:bCs/>
          <w:color w:val="26282f"/>
        </w:rPr>
        <w:outlineLvl w:val="0"/>
      </w:pPr>
      <w:r>
        <w:rPr>
          <w:rFonts w:ascii="Times New Roman CYR" w:hAnsi="Times New Roman CYR" w:cs="Times New Roman CYR"/>
          <w:b/>
          <w:bCs/>
          <w:color w:val="26282f"/>
        </w:rPr>
      </w:r>
      <w:r/>
    </w:p>
    <w:p>
      <w:pPr>
        <w:pStyle w:val="598"/>
        <w:jc w:val="center"/>
        <w:spacing w:before="108" w:after="108"/>
        <w:widowControl w:val="off"/>
        <w:rPr>
          <w:rFonts w:ascii="Times New Roman CYR" w:hAnsi="Times New Roman CYR" w:cs="Times New Roman CYR"/>
          <w:b/>
          <w:bCs/>
          <w:color w:val="26282f"/>
        </w:rPr>
        <w:outlineLvl w:val="0"/>
      </w:pPr>
      <w:r>
        <w:rPr>
          <w:rFonts w:ascii="Times New Roman CYR" w:hAnsi="Times New Roman CYR" w:cs="Times New Roman CYR"/>
          <w:b/>
          <w:bCs/>
          <w:color w:val="26282f"/>
        </w:rPr>
        <w:t xml:space="preserve">Постановление Правительства Иркутской области</w:t>
        <w:br w:type="textWrapping" w:clear="all"/>
        <w:t xml:space="preserve">от 22 декабря 2015 г. N 670-ПП</w:t>
        <w:br w:type="textWrapping" w:clear="all"/>
        <w:t xml:space="preserve">"Об обеспечении в 2016 - 2020 годах ветеранов труда</w:t>
      </w:r>
      <w:r>
        <w:rPr>
          <w:rFonts w:ascii="Times New Roman CYR" w:hAnsi="Times New Roman CYR" w:cs="Times New Roman CYR"/>
          <w:b/>
          <w:bCs/>
          <w:color w:val="26282f"/>
        </w:rPr>
        <w:t xml:space="preserve">, ветеранов труда Иркутской области </w:t>
      </w:r>
      <w:r>
        <w:rPr>
          <w:rFonts w:ascii="Times New Roman CYR" w:hAnsi="Times New Roman CYR" w:cs="Times New Roman CYR"/>
          <w:b/>
          <w:bCs/>
          <w:color w:val="26282f"/>
        </w:rPr>
        <w:t xml:space="preserve">в Иркутской области путевками на санаторно-курортное лечение"</w:t>
      </w:r>
      <w:r/>
    </w:p>
    <w:tbl>
      <w:tblPr>
        <w:tblW w:w="10774" w:type="dxa"/>
        <w:tblInd w:w="-743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694"/>
        <w:gridCol w:w="8080"/>
      </w:tblGrid>
      <w:tr>
        <w:trPr/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Категории граждан</w:t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598"/>
              <w:jc w:val="both"/>
              <w:widowControl w:val="off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Ветераны труда</w:t>
            </w:r>
            <w:r>
              <w:rPr>
                <w:rFonts w:ascii="Times New Roman CYR" w:hAnsi="Times New Roman CYR" w:cs="Times New Roman CYR"/>
                <w:b/>
              </w:rPr>
              <w:t xml:space="preserve">,</w:t>
            </w:r>
            <w:r>
              <w:rPr>
                <w:rFonts w:ascii="Times New Roman CYR" w:hAnsi="Times New Roman CYR" w:cs="Times New Roman CYR"/>
                <w:b/>
              </w:rPr>
              <w:t xml:space="preserve"> </w:t>
            </w:r>
            <w:r>
              <w:rPr>
                <w:b/>
                <w:bCs/>
              </w:rPr>
              <w:t xml:space="preserve">а также граждане, приравненные к ним по состоянию на 31 декабря 2004 года</w:t>
            </w:r>
            <w:r>
              <w:rPr>
                <w:b/>
                <w:bCs/>
              </w:rPr>
              <w:t xml:space="preserve">, ветераны труда Иркутской области, Ветераны труда Иркутской области</w:t>
            </w:r>
            <w:r>
              <w:rPr>
                <w:b/>
              </w:rPr>
            </w:r>
            <w:r/>
          </w:p>
        </w:tc>
      </w:tr>
      <w:tr>
        <w:trPr/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2. Меры социальной поддержки</w:t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</w:rPr>
              <w:t xml:space="preserve">Обеспечение </w:t>
            </w:r>
            <w:r>
              <w:rPr>
                <w:rFonts w:ascii="Times New Roman CYR" w:hAnsi="Times New Roman CYR" w:cs="Times New Roman CYR"/>
              </w:rPr>
              <w:t xml:space="preserve">путевками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на </w:t>
            </w:r>
            <w:r>
              <w:rPr>
                <w:rFonts w:ascii="Times New Roman CYR" w:hAnsi="Times New Roman CYR" w:cs="Times New Roman CYR"/>
              </w:rPr>
              <w:t xml:space="preserve">санаторно – курортн</w:t>
            </w:r>
            <w:r>
              <w:rPr>
                <w:rFonts w:ascii="Times New Roman CYR" w:hAnsi="Times New Roman CYR" w:cs="Times New Roman CYR"/>
              </w:rPr>
              <w:t xml:space="preserve">ое лечение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3. </w:t>
            </w:r>
            <w:r>
              <w:rPr>
                <w:sz w:val="23"/>
                <w:szCs w:val="23"/>
              </w:rPr>
              <w:t xml:space="preserve">У</w:t>
            </w:r>
            <w:r>
              <w:rPr>
                <w:sz w:val="23"/>
                <w:szCs w:val="23"/>
              </w:rPr>
              <w:t xml:space="preserve">словия предоставления </w:t>
            </w:r>
            <w:r>
              <w:rPr>
                <w:sz w:val="23"/>
                <w:szCs w:val="23"/>
              </w:rPr>
              <w:t xml:space="preserve">меры социальной поддержки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Ветераны труда обеспечиваются путевками однократно при одновременном наличии следующих условий: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Start w:id="0" w:name="sub_951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предоставление ежемесячной денежной выплаты в соответствии с </w:t>
            </w:r>
            <w:hyperlink r:id="rId9" w:tooltip="https://internet.garant.ru/#/document/21694531/entry/0" w:history="1">
              <w:r>
                <w:rPr>
                  <w:rStyle w:val="606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Иркутской области от 17 декабря 2008 года N 105-оз "О мерах социальной поддержки отдельных категорий ветеранов в Иркутской области" или в соответствии с </w:t>
            </w:r>
            <w:hyperlink r:id="rId10" w:tooltip="https://internet.garant.ru/#/document/44092276/entry/0" w:history="1">
              <w:r>
                <w:rPr>
                  <w:rStyle w:val="606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Иркутской области от 13 июля 2018 года N 72-ОЗ "О ветеранах труда Иркутской области"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End w:id="0"/>
            <w:r/>
            <w:bookmarkStart w:id="1" w:name="sub_952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2) наличие медицинских показаний к санаторно-курортному лечению, осуществляемому на территории Иркутской области, по заболеваниям сердечно-сосудистой системы и органов пищеварения, а также отсутствие противопоказаний для его осуществления;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pPr>
            <w:r/>
            <w:bookmarkEnd w:id="1"/>
            <w:r/>
            <w:bookmarkStart w:id="2" w:name="sub_953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3) отсутствие права на санаторно-курортное лечение, предоставляемого в качестве иной меры социальной поддержки за счет средств федерального, областного или местного бюджетов;</w:t>
            </w:r>
            <w:r/>
          </w:p>
          <w:p>
            <w:pPr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  <w:t xml:space="preserve">4) прекращение трудовой деятельности;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</w:r>
          </w:p>
          <w:p>
            <w:pPr>
              <w:ind w:firstLine="720"/>
              <w:jc w:val="both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5) постоянное проживание на территории Иркутской области;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</w:r>
          </w:p>
          <w:p>
            <w:pPr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6) обращение за постановкой на учет для обеспечения путевкой по истечении не менее пяти лет с даты предыдущего обеспечения путевкой в соответствии с настоящим Положением.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</w:r>
            <w:r/>
          </w:p>
          <w:p>
            <w:pPr>
              <w:pStyle w:val="598"/>
              <w:ind w:firstLine="720"/>
              <w:jc w:val="both"/>
              <w:widowControl w:val="off"/>
            </w:pPr>
            <w:r/>
            <w:bookmarkEnd w:id="2"/>
            <w:r/>
            <w:bookmarkStart w:id="3" w:name="sub_954"/>
            <w:r>
              <w:rPr>
                <w:rFonts w:ascii="Times New Roman CYR" w:hAnsi="Times New Roman CYR" w:cs="Times New Roman CYR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  <w:t xml:space="preserve">. Куда обращаться</w:t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598"/>
              <w:ind w:right="34" w:firstLine="612"/>
              <w:jc w:val="both"/>
              <w:rPr>
                <w:sz w:val="16"/>
                <w:szCs w:val="16"/>
              </w:rPr>
              <w:outlineLvl w:val="1"/>
            </w:pPr>
            <w:r>
              <w:rPr>
                <w:sz w:val="20"/>
                <w:szCs w:val="20"/>
              </w:rPr>
              <w:t xml:space="preserve">В областное государственное казенное учреждение «Управление социальной защиты населения» по мес</w:t>
            </w:r>
            <w:r>
              <w:rPr>
                <w:sz w:val="20"/>
                <w:szCs w:val="20"/>
              </w:rPr>
              <w:t xml:space="preserve">ту жительства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Документы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1) паспорт или иной документ, удостоверяющий личность ветерана труда;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Start w:id="4" w:name="sub_972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2) документы, удостоверяющие личность и подтверждающие полномочия представителя ветерана труда, - в случае обращения с заявлением представителя ветерана труда;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End w:id="4"/>
            <w:r/>
            <w:bookmarkStart w:id="5" w:name="sub_973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3) справка для получения путевки на санаторно-курортное лечение по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"http://inte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rnet.garant.ru/document?id=70777304&amp;sub=129"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форме N 070/у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, утвержденной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"http://internet.garant.ru/document?id=70777304&amp;sub=0"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приказом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Министерства здравоохранения Российской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Федерации от 15 декабря 2014 года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(далее - справка N 070/у);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End w:id="5"/>
            <w:r/>
            <w:bookmarkStart w:id="6" w:name="sub_974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4) трудовая книжка </w:t>
            </w:r>
            <w:r>
              <w:t xml:space="preserve">и (или) сведения о трудовой деятельности, оформленные в установленном законодательством порядке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End w:id="6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5) справка о получении ежемесячной денежной выплаты в соответствии с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"http://internet.garant.ru/document?id=21594531&amp;sub=0"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Законом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Иркутской области от 17 декабря 2008 года N 105-оз "О мерах социальной поддержки отдельных категорий ветеранов в Ирку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тской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или в соответствии с </w:t>
            </w:r>
            <w:hyperlink r:id="rId11" w:tooltip="https://internet.garant.ru/#/document/44092276/entry/0" w:history="1">
              <w:r>
                <w:rPr>
                  <w:rStyle w:val="606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Иркутской области от 13 июля 2018 года N 72-ОЗ "О ветеранах труда Иркутской области"</w:t>
            </w:r>
            <w:r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, выданная государственным учреждением Иркутской области, подведомственным министерству и включенным в перечень, утвержденный нормативным правовым актом министерства, которым было принято решение о предоставлении ежемесячной денежной выплаты.</w:t>
            </w:r>
            <w:r/>
          </w:p>
          <w:p>
            <w:pPr>
              <w:pStyle w:val="598"/>
              <w:ind w:firstLine="720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6) ходатайство Иркутской областной общественной организации ветеранов (пенсионеров) войны, труда, Вооруженных Сил и правоохранительных органов (при наличии) (далее - ходатайство).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59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  <w:r>
              <w:rPr>
                <w:sz w:val="23"/>
                <w:szCs w:val="23"/>
              </w:rPr>
              <w:t xml:space="preserve">Особые условия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</w:rPr>
              <w:t xml:space="preserve">Основаниями для отказа в постановке ветерана труда на учет являются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: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1) несоблюдение условий, предусмотренных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\l "sub_95"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пунктом 3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настоящей Памятки;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2) представление неполного перечня документов (за исключением документов, указанных в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\l "sub_975"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подпунктах 5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\l "sub_976"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6 пункта 4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настоящей Памятки);</w:t>
            </w:r>
            <w:r/>
          </w:p>
          <w:p>
            <w:pPr>
              <w:pStyle w:val="598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3) обеспечение путевкой в соответствии с настоящим Положением;</w:t>
            </w:r>
            <w:r/>
          </w:p>
          <w:p>
            <w:pPr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4) обращение с заявлением и документами с нарушением срока, установленного </w:t>
            </w:r>
            <w:hyperlink r:id="rId12" w:tooltip="https://internet.garant.ru/#/document/34772035/entry/96" w:history="1">
              <w:r>
                <w:rPr>
                  <w:rStyle w:val="606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пунктом 6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настоящего Положения.</w:t>
            </w:r>
            <w:r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r>
            <w:r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539" w:right="707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ru-RU" w:bidi="ar-SA"/>
    </w:rPr>
  </w:style>
  <w:style w:type="paragraph" w:styleId="599">
    <w:name w:val="Заголовок 1"/>
    <w:basedOn w:val="598"/>
    <w:next w:val="598"/>
    <w:link w:val="607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eastAsia="Times New Roman" w:cs="Times New Roman CYR"/>
      <w:b/>
      <w:bCs/>
      <w:color w:val="26282f"/>
    </w:rPr>
  </w:style>
  <w:style w:type="character" w:styleId="600">
    <w:name w:val="Основной шрифт абзаца, Знак Знак Знак Знак Знак Знак Знак Знак"/>
    <w:next w:val="600"/>
    <w:link w:val="604"/>
    <w:semiHidden/>
  </w:style>
  <w:style w:type="table" w:styleId="601">
    <w:name w:val="Обычная таблица"/>
    <w:next w:val="601"/>
    <w:link w:val="598"/>
    <w:semiHidden/>
    <w:tblPr/>
  </w:style>
  <w:style w:type="numbering" w:styleId="602">
    <w:name w:val="Нет списка"/>
    <w:next w:val="602"/>
    <w:link w:val="598"/>
    <w:semiHidden/>
  </w:style>
  <w:style w:type="table" w:styleId="603">
    <w:name w:val="Сетка таблицы"/>
    <w:basedOn w:val="601"/>
    <w:next w:val="603"/>
    <w:link w:val="598"/>
    <w:tblPr/>
  </w:style>
  <w:style w:type="paragraph" w:styleId="604">
    <w:name w:val=" Знак Знак Знак Знак Знак Знак"/>
    <w:basedOn w:val="598"/>
    <w:next w:val="604"/>
    <w:link w:val="600"/>
    <w:rPr>
      <w:rFonts w:ascii="Verdana" w:hAnsi="Verdana" w:cs="Verdana"/>
      <w:sz w:val="20"/>
      <w:szCs w:val="20"/>
      <w:lang w:val="en-US" w:eastAsia="en-US"/>
    </w:rPr>
  </w:style>
  <w:style w:type="paragraph" w:styleId="605">
    <w:name w:val="Текст выноски"/>
    <w:basedOn w:val="598"/>
    <w:next w:val="605"/>
    <w:link w:val="598"/>
    <w:semiHidden/>
    <w:rPr>
      <w:rFonts w:ascii="Tahoma" w:hAnsi="Tahoma" w:cs="Tahoma"/>
      <w:sz w:val="16"/>
      <w:szCs w:val="16"/>
    </w:rPr>
  </w:style>
  <w:style w:type="character" w:styleId="606">
    <w:name w:val="Гиперссылка"/>
    <w:next w:val="606"/>
    <w:link w:val="598"/>
    <w:rPr>
      <w:color w:val="0000ff"/>
      <w:u w:val="single"/>
    </w:rPr>
  </w:style>
  <w:style w:type="character" w:styleId="607">
    <w:name w:val="Заголовок 1 Знак"/>
    <w:next w:val="607"/>
    <w:link w:val="599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character" w:styleId="608">
    <w:name w:val="Гипертекстовая ссылка"/>
    <w:next w:val="608"/>
    <w:link w:val="598"/>
    <w:uiPriority w:val="99"/>
    <w:rPr>
      <w:color w:val="106bbe"/>
    </w:rPr>
  </w:style>
  <w:style w:type="character" w:styleId="951" w:default="1">
    <w:name w:val="Default Paragraph Font"/>
    <w:uiPriority w:val="1"/>
    <w:semiHidden/>
    <w:unhideWhenUsed/>
  </w:style>
  <w:style w:type="numbering" w:styleId="952" w:default="1">
    <w:name w:val="No List"/>
    <w:uiPriority w:val="99"/>
    <w:semiHidden/>
    <w:unhideWhenUsed/>
  </w:style>
  <w:style w:type="table" w:styleId="9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internet.garant.ru/#/document/21694531/entry/0" TargetMode="External"/><Relationship Id="rId10" Type="http://schemas.openxmlformats.org/officeDocument/2006/relationships/hyperlink" Target="https://internet.garant.ru/#/document/44092276/entry/0" TargetMode="External"/><Relationship Id="rId11" Type="http://schemas.openxmlformats.org/officeDocument/2006/relationships/hyperlink" Target="https://internet.garant.ru/#/document/44092276/entry/0" TargetMode="External"/><Relationship Id="rId12" Type="http://schemas.openxmlformats.org/officeDocument/2006/relationships/hyperlink" Target="https://internet.garant.ru/#/document/34772035/entry/9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32</cp:revision>
  <dcterms:created xsi:type="dcterms:W3CDTF">2014-12-23T09:45:00Z</dcterms:created>
  <dcterms:modified xsi:type="dcterms:W3CDTF">2024-02-19T02:24:04Z</dcterms:modified>
  <cp:version>983040</cp:version>
</cp:coreProperties>
</file>